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A" w:rsidRDefault="003C627C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  <w:noProof/>
        </w:rPr>
        <w:drawing>
          <wp:inline distT="0" distB="0" distL="0" distR="0">
            <wp:extent cx="2895600" cy="965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971" cy="968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ECA" w:rsidRDefault="00874FF5">
      <w:pPr>
        <w:jc w:val="center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Secondary School</w:t>
      </w:r>
    </w:p>
    <w:p w:rsidR="00260ECA" w:rsidRDefault="00874FF5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</w:rPr>
        <w:t>Teacher of Food Technology</w:t>
      </w:r>
    </w:p>
    <w:p w:rsidR="00260ECA" w:rsidRDefault="00260ECA">
      <w:pPr>
        <w:jc w:val="center"/>
        <w:rPr>
          <w:rFonts w:ascii="Tahoma" w:eastAsia="Tahoma" w:hAnsi="Tahoma" w:cs="Tahoma"/>
          <w:sz w:val="22"/>
          <w:szCs w:val="22"/>
        </w:rPr>
      </w:pPr>
    </w:p>
    <w:p w:rsidR="00260ECA" w:rsidRDefault="00874FF5">
      <w:pPr>
        <w:jc w:val="center"/>
        <w:rPr>
          <w:rFonts w:ascii="Tahoma" w:eastAsia="Tahoma" w:hAnsi="Tahoma" w:cs="Tahoma"/>
          <w:i/>
          <w:sz w:val="22"/>
          <w:szCs w:val="22"/>
        </w:rPr>
      </w:pPr>
      <w:r>
        <w:rPr>
          <w:rFonts w:ascii="Tahoma" w:eastAsia="Tahoma" w:hAnsi="Tahoma" w:cs="Tahoma"/>
          <w:i/>
          <w:sz w:val="22"/>
          <w:szCs w:val="22"/>
        </w:rPr>
        <w:t>“To inspire, challenge and nurture for excellence”</w:t>
      </w:r>
      <w:bookmarkStart w:id="0" w:name="_GoBack"/>
      <w:bookmarkEnd w:id="0"/>
    </w:p>
    <w:p w:rsidR="00260ECA" w:rsidRDefault="00260ECA">
      <w:pPr>
        <w:jc w:val="both"/>
        <w:rPr>
          <w:rFonts w:ascii="Tahoma" w:eastAsia="Tahoma" w:hAnsi="Tahoma" w:cs="Tahoma"/>
          <w:sz w:val="22"/>
          <w:szCs w:val="22"/>
        </w:rPr>
      </w:pPr>
    </w:p>
    <w:p w:rsidR="00260ECA" w:rsidRDefault="00874FF5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We are delighted that you are interested in furthering your teaching career at the British School Jakarta (BSJ). The Secondary School currently has over </w:t>
      </w:r>
      <w:r>
        <w:rPr>
          <w:rFonts w:ascii="Tahoma" w:eastAsia="Tahoma" w:hAnsi="Tahoma" w:cs="Tahoma"/>
          <w:sz w:val="22"/>
          <w:szCs w:val="22"/>
        </w:rPr>
        <w:t xml:space="preserve">600 </w:t>
      </w:r>
      <w:r>
        <w:rPr>
          <w:rFonts w:ascii="Tahoma" w:eastAsia="Tahoma" w:hAnsi="Tahoma" w:cs="Tahoma"/>
          <w:sz w:val="22"/>
          <w:szCs w:val="22"/>
        </w:rPr>
        <w:t xml:space="preserve">students in </w:t>
      </w:r>
      <w:r>
        <w:rPr>
          <w:rFonts w:ascii="Tahoma" w:eastAsia="Tahoma" w:hAnsi="Tahoma" w:cs="Tahoma"/>
          <w:sz w:val="22"/>
          <w:szCs w:val="22"/>
        </w:rPr>
        <w:t>Years</w:t>
      </w:r>
      <w:r>
        <w:rPr>
          <w:rFonts w:ascii="Tahoma" w:eastAsia="Tahoma" w:hAnsi="Tahoma" w:cs="Tahoma"/>
          <w:sz w:val="22"/>
          <w:szCs w:val="22"/>
        </w:rPr>
        <w:t xml:space="preserve"> 7-11, and over 200 students in our Sixth Form. Our reputation is to provide academic excellence via a balanced international curriculum, while enabling our students to become active, compassionate and </w:t>
      </w:r>
      <w:r>
        <w:rPr>
          <w:rFonts w:ascii="Tahoma" w:eastAsia="Tahoma" w:hAnsi="Tahoma" w:cs="Tahoma"/>
          <w:sz w:val="22"/>
          <w:szCs w:val="22"/>
        </w:rPr>
        <w:t>lifelong</w:t>
      </w:r>
      <w:r>
        <w:rPr>
          <w:rFonts w:ascii="Tahoma" w:eastAsia="Tahoma" w:hAnsi="Tahoma" w:cs="Tahoma"/>
          <w:sz w:val="22"/>
          <w:szCs w:val="22"/>
        </w:rPr>
        <w:t xml:space="preserve"> learners. </w:t>
      </w:r>
    </w:p>
    <w:p w:rsidR="00260ECA" w:rsidRDefault="00260ECA">
      <w:pPr>
        <w:jc w:val="both"/>
        <w:rPr>
          <w:rFonts w:ascii="Tahoma" w:eastAsia="Tahoma" w:hAnsi="Tahoma" w:cs="Tahoma"/>
          <w:sz w:val="22"/>
          <w:szCs w:val="22"/>
        </w:rPr>
      </w:pPr>
    </w:p>
    <w:p w:rsidR="00260ECA" w:rsidRDefault="00874FF5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Our curriculum i</w:t>
      </w:r>
      <w:r>
        <w:rPr>
          <w:rFonts w:ascii="Tahoma" w:eastAsia="Tahoma" w:hAnsi="Tahoma" w:cs="Tahoma"/>
          <w:sz w:val="22"/>
          <w:szCs w:val="22"/>
        </w:rPr>
        <w:t>n the lower years (KS3) is modelled on the English National Curriculum, after which students then study their choice of subjects at (I</w:t>
      </w:r>
      <w:proofErr w:type="gramStart"/>
      <w:r>
        <w:rPr>
          <w:rFonts w:ascii="Tahoma" w:eastAsia="Tahoma" w:hAnsi="Tahoma" w:cs="Tahoma"/>
          <w:sz w:val="22"/>
          <w:szCs w:val="22"/>
        </w:rPr>
        <w:t>)GCSE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and the International Baccalaureate Diploma Programme in our Sixth Form. Our students annually achieve results well </w:t>
      </w:r>
      <w:r>
        <w:rPr>
          <w:rFonts w:ascii="Tahoma" w:eastAsia="Tahoma" w:hAnsi="Tahoma" w:cs="Tahoma"/>
          <w:sz w:val="22"/>
          <w:szCs w:val="22"/>
        </w:rPr>
        <w:t>above UK and global averages, and are highly successful in their applications to leading universities in the UK, USA, Canada and Asia.</w:t>
      </w:r>
    </w:p>
    <w:p w:rsidR="00260ECA" w:rsidRDefault="00260ECA">
      <w:pPr>
        <w:jc w:val="both"/>
        <w:rPr>
          <w:rFonts w:ascii="Tahoma" w:eastAsia="Tahoma" w:hAnsi="Tahoma" w:cs="Tahoma"/>
          <w:sz w:val="22"/>
          <w:szCs w:val="22"/>
        </w:rPr>
      </w:pPr>
    </w:p>
    <w:p w:rsidR="00260ECA" w:rsidRDefault="00874FF5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Students at BSJ are exceptionally active in exploring and developing their individual passions and talents. We have an e</w:t>
      </w:r>
      <w:r>
        <w:rPr>
          <w:rFonts w:ascii="Tahoma" w:eastAsia="Tahoma" w:hAnsi="Tahoma" w:cs="Tahoma"/>
          <w:sz w:val="22"/>
          <w:szCs w:val="22"/>
        </w:rPr>
        <w:t xml:space="preserve">xpansive programme of opportunities that encompass: sports, drama, music, art, technology, leadership, </w:t>
      </w:r>
      <w:proofErr w:type="gramStart"/>
      <w:r>
        <w:rPr>
          <w:rFonts w:ascii="Tahoma" w:eastAsia="Tahoma" w:hAnsi="Tahoma" w:cs="Tahoma"/>
          <w:sz w:val="22"/>
          <w:szCs w:val="22"/>
        </w:rPr>
        <w:t>charity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and community service.</w:t>
      </w:r>
    </w:p>
    <w:p w:rsidR="00260ECA" w:rsidRDefault="00260ECA">
      <w:pPr>
        <w:jc w:val="both"/>
        <w:rPr>
          <w:rFonts w:ascii="Tahoma" w:eastAsia="Tahoma" w:hAnsi="Tahoma" w:cs="Tahoma"/>
          <w:sz w:val="22"/>
          <w:szCs w:val="22"/>
        </w:rPr>
      </w:pPr>
    </w:p>
    <w:p w:rsidR="00260ECA" w:rsidRDefault="00874FF5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Design and Technology is a popular faculty that is taught in dedicated workshops based on two floors. The faculty compris</w:t>
      </w:r>
      <w:r>
        <w:rPr>
          <w:rFonts w:ascii="Tahoma" w:eastAsia="Tahoma" w:hAnsi="Tahoma" w:cs="Tahoma"/>
          <w:sz w:val="22"/>
          <w:szCs w:val="22"/>
        </w:rPr>
        <w:t>es of four full-time specialist teachers who deliver the Technology curriculum at KS3, GCSE Design Technology (CIE) and GCSE Food Preparation &amp; Nutrition (AQA) at KS4, and Design Technology at IB.</w:t>
      </w:r>
    </w:p>
    <w:p w:rsidR="00260ECA" w:rsidRDefault="00260ECA">
      <w:pPr>
        <w:jc w:val="both"/>
        <w:rPr>
          <w:rFonts w:ascii="Tahoma" w:eastAsia="Tahoma" w:hAnsi="Tahoma" w:cs="Tahoma"/>
          <w:sz w:val="22"/>
          <w:szCs w:val="22"/>
        </w:rPr>
      </w:pPr>
    </w:p>
    <w:p w:rsidR="00260ECA" w:rsidRDefault="00874FF5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The position being advertised is for a teacher of Food Tec</w:t>
      </w:r>
      <w:r>
        <w:rPr>
          <w:rFonts w:ascii="Tahoma" w:eastAsia="Tahoma" w:hAnsi="Tahoma" w:cs="Tahoma"/>
          <w:sz w:val="22"/>
          <w:szCs w:val="22"/>
        </w:rPr>
        <w:t xml:space="preserve">hnology who will teach this module within </w:t>
      </w:r>
      <w:proofErr w:type="gramStart"/>
      <w:r>
        <w:rPr>
          <w:rFonts w:ascii="Tahoma" w:eastAsia="Tahoma" w:hAnsi="Tahoma" w:cs="Tahoma"/>
          <w:sz w:val="22"/>
          <w:szCs w:val="22"/>
        </w:rPr>
        <w:t>a carousal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in KS3 and will have sole responsibility for the GCSE Food Preparation &amp; Nutrition classes in KS4. We have a specialist food technology area, with experienced technician support, that includes: an intera</w:t>
      </w:r>
      <w:r>
        <w:rPr>
          <w:rFonts w:ascii="Tahoma" w:eastAsia="Tahoma" w:hAnsi="Tahoma" w:cs="Tahoma"/>
          <w:sz w:val="22"/>
          <w:szCs w:val="22"/>
        </w:rPr>
        <w:t xml:space="preserve">ctive whiteboard, a dedicated demonstration facility, nine fully equipped workstations, and an adjoining teaching area. The subject is a very popular choice </w:t>
      </w:r>
      <w:r>
        <w:rPr>
          <w:rFonts w:ascii="Tahoma" w:eastAsia="Tahoma" w:hAnsi="Tahoma" w:cs="Tahoma"/>
          <w:sz w:val="22"/>
          <w:szCs w:val="22"/>
        </w:rPr>
        <w:t>in</w:t>
      </w:r>
      <w:r>
        <w:rPr>
          <w:rFonts w:ascii="Tahoma" w:eastAsia="Tahoma" w:hAnsi="Tahoma" w:cs="Tahoma"/>
          <w:sz w:val="22"/>
          <w:szCs w:val="22"/>
        </w:rPr>
        <w:t xml:space="preserve"> KS4: from September 2018 there will be two/three groups in Yr10 and three groups in Yr11.</w:t>
      </w:r>
    </w:p>
    <w:p w:rsidR="00260ECA" w:rsidRDefault="00260ECA">
      <w:pPr>
        <w:jc w:val="both"/>
        <w:rPr>
          <w:rFonts w:ascii="Tahoma" w:eastAsia="Tahoma" w:hAnsi="Tahoma" w:cs="Tahoma"/>
          <w:sz w:val="22"/>
          <w:szCs w:val="22"/>
        </w:rPr>
      </w:pPr>
    </w:p>
    <w:p w:rsidR="00260ECA" w:rsidRDefault="00874FF5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The s</w:t>
      </w:r>
      <w:r>
        <w:rPr>
          <w:rFonts w:ascii="Tahoma" w:eastAsia="Tahoma" w:hAnsi="Tahoma" w:cs="Tahoma"/>
          <w:sz w:val="22"/>
          <w:szCs w:val="22"/>
        </w:rPr>
        <w:t xml:space="preserve">uccessful candidate will be </w:t>
      </w:r>
      <w:r>
        <w:rPr>
          <w:rFonts w:ascii="Tahoma" w:eastAsia="Tahoma" w:hAnsi="Tahoma" w:cs="Tahoma"/>
          <w:sz w:val="22"/>
          <w:szCs w:val="22"/>
        </w:rPr>
        <w:t>able to demonstrate:</w:t>
      </w:r>
    </w:p>
    <w:p w:rsidR="00260ECA" w:rsidRDefault="00874FF5">
      <w:pPr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 track record of exceptional Food Technology and Nutrition teaching</w:t>
      </w:r>
    </w:p>
    <w:p w:rsidR="00260ECA" w:rsidRDefault="00874FF5">
      <w:pPr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Capable of teaching across the Key Stages</w:t>
      </w:r>
    </w:p>
    <w:p w:rsidR="00260ECA" w:rsidRDefault="00874FF5">
      <w:pPr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Outstanding subject knowledge</w:t>
      </w:r>
    </w:p>
    <w:p w:rsidR="00260ECA" w:rsidRDefault="00874FF5">
      <w:pPr>
        <w:numPr>
          <w:ilvl w:val="0"/>
          <w:numId w:val="1"/>
        </w:numPr>
        <w:contextualSpacing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Enthusiasm and motivation for exemplary teaching and learning </w:t>
      </w:r>
    </w:p>
    <w:p w:rsidR="00260ECA" w:rsidRDefault="00260ECA">
      <w:pPr>
        <w:rPr>
          <w:rFonts w:ascii="Tahoma" w:eastAsia="Tahoma" w:hAnsi="Tahoma" w:cs="Tahoma"/>
          <w:sz w:val="22"/>
          <w:szCs w:val="22"/>
        </w:rPr>
      </w:pPr>
    </w:p>
    <w:p w:rsidR="00260ECA" w:rsidRDefault="00874FF5">
      <w:pPr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In return, the successful candidate can expect:</w:t>
      </w:r>
    </w:p>
    <w:p w:rsidR="00260ECA" w:rsidRDefault="00874FF5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 comprehensive Induction Programme</w:t>
      </w:r>
    </w:p>
    <w:p w:rsidR="00260ECA" w:rsidRDefault="00874FF5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Opportunities to work in a dynamic and supportive faculty with excellent facilities</w:t>
      </w:r>
    </w:p>
    <w:p w:rsidR="00260ECA" w:rsidRDefault="00874FF5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 positive student body who love learning</w:t>
      </w:r>
    </w:p>
    <w:p w:rsidR="00260ECA" w:rsidRDefault="00874FF5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A strong Continuing Professional Learning programme to develop you as an outstanding teacher</w:t>
      </w:r>
    </w:p>
    <w:p w:rsidR="00260ECA" w:rsidRDefault="00874FF5">
      <w:pPr>
        <w:numPr>
          <w:ilvl w:val="0"/>
          <w:numId w:val="2"/>
        </w:numPr>
        <w:contextualSpacing/>
        <w:rPr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lastRenderedPageBreak/>
        <w:t>A supportive Senior Leadership Team</w:t>
      </w:r>
    </w:p>
    <w:p w:rsidR="00260ECA" w:rsidRDefault="00260ECA">
      <w:pPr>
        <w:rPr>
          <w:rFonts w:ascii="Tahoma" w:eastAsia="Tahoma" w:hAnsi="Tahoma" w:cs="Tahoma"/>
          <w:sz w:val="22"/>
          <w:szCs w:val="22"/>
        </w:rPr>
      </w:pPr>
    </w:p>
    <w:p w:rsidR="00260ECA" w:rsidRDefault="00874FF5">
      <w:pPr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If you are lively, forward thinking and able to motivate young people to reach their academic targets and beyond, then we woul</w:t>
      </w:r>
      <w:r>
        <w:rPr>
          <w:rFonts w:ascii="Tahoma" w:eastAsia="Tahoma" w:hAnsi="Tahoma" w:cs="Tahoma"/>
          <w:sz w:val="22"/>
          <w:szCs w:val="22"/>
        </w:rPr>
        <w:t>d be delighted to receive your application to join our team.</w:t>
      </w:r>
    </w:p>
    <w:sectPr w:rsidR="00260ECA">
      <w:pgSz w:w="11900" w:h="16840"/>
      <w:pgMar w:top="1440" w:right="1800" w:bottom="709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060DC"/>
    <w:multiLevelType w:val="multilevel"/>
    <w:tmpl w:val="64BC0C2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53720065"/>
    <w:multiLevelType w:val="multilevel"/>
    <w:tmpl w:val="BFEE978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60ECA"/>
    <w:rsid w:val="00260ECA"/>
    <w:rsid w:val="003C627C"/>
    <w:rsid w:val="0087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rFonts w:ascii="Times" w:eastAsia="Times" w:hAnsi="Times" w:cs="Times"/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/>
      <w:outlineLvl w:val="2"/>
    </w:pPr>
    <w:rPr>
      <w:rFonts w:ascii="Times" w:eastAsia="Times" w:hAnsi="Times" w:cs="Times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rFonts w:ascii="Times" w:eastAsia="Times" w:hAnsi="Times" w:cs="Times"/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/>
      <w:outlineLvl w:val="2"/>
    </w:pPr>
    <w:rPr>
      <w:rFonts w:ascii="Times" w:eastAsia="Times" w:hAnsi="Times" w:cs="Times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2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aprillia</cp:lastModifiedBy>
  <cp:revision>3</cp:revision>
  <dcterms:created xsi:type="dcterms:W3CDTF">2017-09-29T04:53:00Z</dcterms:created>
  <dcterms:modified xsi:type="dcterms:W3CDTF">2017-09-29T04:53:00Z</dcterms:modified>
</cp:coreProperties>
</file>