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E" w:rsidRDefault="00997F17" w:rsidP="001E0C34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C99C7E8" wp14:editId="2296E141">
            <wp:simplePos x="0" y="0"/>
            <wp:positionH relativeFrom="margin">
              <wp:posOffset>1876425</wp:posOffset>
            </wp:positionH>
            <wp:positionV relativeFrom="paragraph">
              <wp:posOffset>0</wp:posOffset>
            </wp:positionV>
            <wp:extent cx="10191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398" y="21412"/>
                <wp:lineTo x="213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ton%20Riverside%20College%20Mon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C34" w:rsidRDefault="001E0C34" w:rsidP="00997F17">
      <w:pPr>
        <w:spacing w:after="0"/>
        <w:jc w:val="center"/>
        <w:rPr>
          <w:rFonts w:ascii="Calibri" w:hAnsi="Calibri"/>
          <w:sz w:val="24"/>
          <w:szCs w:val="24"/>
        </w:rPr>
      </w:pPr>
    </w:p>
    <w:p w:rsidR="00997F17" w:rsidRDefault="00997F17" w:rsidP="00141EF3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1E0C34" w:rsidRDefault="001E0C34" w:rsidP="00141EF3">
      <w:pPr>
        <w:spacing w:after="0"/>
        <w:rPr>
          <w:rFonts w:ascii="Calibri" w:hAnsi="Calibri"/>
          <w:sz w:val="24"/>
          <w:szCs w:val="24"/>
        </w:rPr>
      </w:pPr>
    </w:p>
    <w:p w:rsidR="0070240A" w:rsidRDefault="0070240A" w:rsidP="00997F17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70240A" w:rsidRDefault="0070240A" w:rsidP="00997F17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1E0C34" w:rsidRPr="00997F17" w:rsidRDefault="00997F17" w:rsidP="00997F17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997F17">
        <w:rPr>
          <w:rFonts w:ascii="Calibri" w:hAnsi="Calibri"/>
          <w:b/>
          <w:sz w:val="24"/>
          <w:szCs w:val="24"/>
        </w:rPr>
        <w:t xml:space="preserve">Person Specification – Admissions </w:t>
      </w:r>
      <w:r w:rsidR="00EF7B13">
        <w:rPr>
          <w:rFonts w:ascii="Calibri" w:hAnsi="Calibri"/>
          <w:b/>
          <w:sz w:val="24"/>
          <w:szCs w:val="24"/>
        </w:rPr>
        <w:t>Officer</w:t>
      </w:r>
    </w:p>
    <w:p w:rsidR="00997F17" w:rsidRDefault="00997F17" w:rsidP="00141EF3">
      <w:pPr>
        <w:spacing w:after="0"/>
        <w:rPr>
          <w:rFonts w:ascii="Calibri" w:hAnsi="Calibri"/>
          <w:sz w:val="24"/>
          <w:szCs w:val="24"/>
        </w:rPr>
      </w:pPr>
    </w:p>
    <w:tbl>
      <w:tblPr>
        <w:tblW w:w="501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1100"/>
        <w:gridCol w:w="1924"/>
      </w:tblGrid>
      <w:tr w:rsidR="001E0C34" w:rsidRPr="005B0CBA" w:rsidTr="007C302B">
        <w:tc>
          <w:tcPr>
            <w:tcW w:w="3329" w:type="pct"/>
            <w:vAlign w:val="center"/>
          </w:tcPr>
          <w:p w:rsidR="001E0C34" w:rsidRPr="00997F17" w:rsidRDefault="001E0C34" w:rsidP="007C302B">
            <w:pPr>
              <w:spacing w:before="120" w:after="120"/>
              <w:rPr>
                <w:rFonts w:asciiTheme="minorHAnsi" w:hAnsiTheme="minorHAnsi"/>
                <w:b/>
              </w:rPr>
            </w:pPr>
            <w:r w:rsidRPr="00997F17">
              <w:rPr>
                <w:rFonts w:asciiTheme="minorHAnsi" w:hAnsiTheme="minorHAnsi"/>
                <w:b/>
              </w:rPr>
              <w:t>Personal attributes required</w:t>
            </w:r>
          </w:p>
        </w:tc>
        <w:tc>
          <w:tcPr>
            <w:tcW w:w="608" w:type="pct"/>
          </w:tcPr>
          <w:p w:rsidR="001E0C34" w:rsidRPr="00997F17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997F17">
              <w:rPr>
                <w:rFonts w:asciiTheme="minorHAnsi" w:hAnsiTheme="minorHAnsi"/>
                <w:b/>
              </w:rPr>
              <w:t>Essential (E) or Desirable (D)</w:t>
            </w:r>
          </w:p>
        </w:tc>
        <w:tc>
          <w:tcPr>
            <w:tcW w:w="1063" w:type="pct"/>
          </w:tcPr>
          <w:p w:rsidR="001E0C34" w:rsidRPr="00997F17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997F17">
              <w:rPr>
                <w:rFonts w:asciiTheme="minorHAnsi" w:hAnsiTheme="minorHAnsi"/>
                <w:b/>
              </w:rPr>
              <w:t>Assessed via Application (A), Interview (I) Presentation/Task (P/T)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5B0CBA">
              <w:rPr>
                <w:rFonts w:asciiTheme="minorHAnsi" w:hAnsiTheme="minorHAnsi"/>
                <w:b/>
                <w:sz w:val="24"/>
                <w:szCs w:val="24"/>
              </w:rPr>
              <w:t>Qualifications: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5B0CBA">
              <w:rPr>
                <w:rFonts w:asciiTheme="minorHAnsi" w:hAnsiTheme="minorHAnsi"/>
                <w:sz w:val="24"/>
                <w:szCs w:val="24"/>
              </w:rPr>
              <w:t>Good General Education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Relevant job related training or qualification indicating high level of competence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B0CBA">
              <w:rPr>
                <w:rFonts w:asciiTheme="minorHAnsi" w:hAnsiTheme="minorHAnsi"/>
                <w:b/>
                <w:sz w:val="24"/>
                <w:szCs w:val="24"/>
              </w:rPr>
              <w:t>Experience: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 xml:space="preserve">Processing data within a customer database system, writing of reports and analysis of data 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Following effective processes within a high pressure environment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Self</w:t>
            </w:r>
            <w:r w:rsidR="00997F17">
              <w:rPr>
                <w:rFonts w:asciiTheme="minorHAnsi" w:hAnsiTheme="minorHAnsi"/>
                <w:sz w:val="24"/>
                <w:szCs w:val="24"/>
              </w:rPr>
              <w:t xml:space="preserve"> -</w:t>
            </w:r>
            <w:r w:rsidRPr="005B0CBA">
              <w:rPr>
                <w:rFonts w:asciiTheme="minorHAnsi" w:hAnsiTheme="minorHAnsi"/>
                <w:sz w:val="24"/>
                <w:szCs w:val="24"/>
              </w:rPr>
              <w:t xml:space="preserve"> management of workloads and processes 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Excellence in customer service delivery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Experience in developing systems and delivery improvements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D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B0CBA">
              <w:rPr>
                <w:rFonts w:asciiTheme="minorHAnsi" w:hAnsiTheme="minorHAnsi"/>
                <w:b/>
                <w:sz w:val="24"/>
                <w:szCs w:val="24"/>
              </w:rPr>
              <w:t>Knowledge, skills and abilities: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Experience and knowledge of the issues related to the admissions process for all ages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Ability to establish effective working relationships with staff at all levels across the college and with outside agencies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Flexibility and a capacity to work under pressure and to meet targets and achieve goals successfully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Experience of college enrolment processes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lastRenderedPageBreak/>
              <w:t>An understanding of Safeguarding and a commitment to creating and maintaining a safe environment for all learners.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An appreciation of Equality &amp; Diversity within the workplace  and a commitment to actively support and implement the college’s Equal Opportunities policies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B0CBA">
              <w:rPr>
                <w:rFonts w:asciiTheme="minorHAnsi" w:hAnsiTheme="minorHAnsi"/>
                <w:b/>
                <w:sz w:val="24"/>
                <w:szCs w:val="24"/>
              </w:rPr>
              <w:t>Other: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Ability to work independently in response to a range of varied targets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Ability to respond pro-actively to challenging targets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Ability to build positive and responsive relationships with college curriculum teams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AI</w:t>
            </w:r>
          </w:p>
        </w:tc>
      </w:tr>
      <w:tr w:rsidR="001E0C34" w:rsidRPr="005B0CBA" w:rsidTr="007C302B">
        <w:tc>
          <w:tcPr>
            <w:tcW w:w="3329" w:type="pct"/>
          </w:tcPr>
          <w:p w:rsidR="001E0C34" w:rsidRPr="005B0CBA" w:rsidRDefault="001E0C34" w:rsidP="007C302B">
            <w:pPr>
              <w:spacing w:before="120"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Work may often be outside of normal office hours</w:t>
            </w:r>
          </w:p>
        </w:tc>
        <w:tc>
          <w:tcPr>
            <w:tcW w:w="608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D</w:t>
            </w:r>
          </w:p>
        </w:tc>
        <w:tc>
          <w:tcPr>
            <w:tcW w:w="1063" w:type="pct"/>
          </w:tcPr>
          <w:p w:rsidR="001E0C34" w:rsidRPr="005B0CBA" w:rsidRDefault="001E0C34" w:rsidP="007C302B">
            <w:pPr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B0CBA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</w:tr>
    </w:tbl>
    <w:p w:rsidR="001E0C34" w:rsidRPr="00E0313A" w:rsidRDefault="001E0C34" w:rsidP="00141EF3">
      <w:pPr>
        <w:spacing w:after="0"/>
        <w:rPr>
          <w:rFonts w:ascii="Calibri" w:hAnsi="Calibri"/>
          <w:sz w:val="24"/>
          <w:szCs w:val="24"/>
        </w:rPr>
      </w:pPr>
    </w:p>
    <w:sectPr w:rsidR="001E0C34" w:rsidRPr="00E0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34"/>
    <w:rsid w:val="00141EF3"/>
    <w:rsid w:val="001E0C34"/>
    <w:rsid w:val="00342555"/>
    <w:rsid w:val="00384560"/>
    <w:rsid w:val="005B358E"/>
    <w:rsid w:val="0070240A"/>
    <w:rsid w:val="00997F17"/>
    <w:rsid w:val="00AD708E"/>
    <w:rsid w:val="00E0313A"/>
    <w:rsid w:val="00E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B1CA4-E163-42D0-BCB8-7549E198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B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C20A0284</Template>
  <TotalTime>22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Riverside College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Cunneen</dc:creator>
  <cp:keywords/>
  <dc:description/>
  <cp:lastModifiedBy>Karen Cunneen</cp:lastModifiedBy>
  <cp:revision>4</cp:revision>
  <cp:lastPrinted>2017-03-30T09:45:00Z</cp:lastPrinted>
  <dcterms:created xsi:type="dcterms:W3CDTF">2017-01-18T15:26:00Z</dcterms:created>
  <dcterms:modified xsi:type="dcterms:W3CDTF">2017-12-12T14:28:00Z</dcterms:modified>
</cp:coreProperties>
</file>