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a1cf"/>
          <w:sz w:val="48"/>
          <w:szCs w:val="48"/>
        </w:rPr>
      </w:pPr>
      <w:r w:rsidDel="00000000" w:rsidR="00000000" w:rsidRPr="00000000">
        <w:rPr>
          <w:color w:val="00a1cf"/>
          <w:sz w:val="48"/>
          <w:szCs w:val="48"/>
          <w:rtl w:val="0"/>
        </w:rPr>
        <w:t xml:space="preserve">Director of History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a1cf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515"/>
        <w:tblGridChange w:id="0">
          <w:tblGrid>
            <w:gridCol w:w="2355"/>
            <w:gridCol w:w="7515"/>
          </w:tblGrid>
        </w:tblGridChange>
      </w:tblGrid>
      <w:t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Salary / grade range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L14 to L19</w:t>
            </w:r>
          </w:p>
        </w:tc>
      </w:tr>
      <w:t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Location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Trust Wide, but with consideration given to the successful candidate’s location when selecting their main base.  </w:t>
            </w:r>
          </w:p>
        </w:tc>
      </w:tr>
      <w:t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Reports to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Chief Education Officer</w:t>
            </w:r>
          </w:p>
        </w:tc>
      </w:tr>
    </w:tbl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a1c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color w:val="00a1cf"/>
                <w:sz w:val="28"/>
                <w:szCs w:val="28"/>
                <w:rtl w:val="0"/>
              </w:rPr>
              <w:t xml:space="preserve">Purpose of role: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You will work directly with the history leaders and teachers to diagnose the strengths and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weaknesses and support academies to address their areas of development. You will be 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pivotal person to show and share the best history practice across our academies. The successful candidate will help departments to build their own sustainable capacity and promote improvements.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You will be expected to deliver regular professional development sessions to subject leaders in order to enable them to meet their academy aims. You will be a consistently very good/outstanding teacher with some of your time being spent teaching in allocated academies on a regular timetable, leading by example. You will be instrumental in continuing to develop individual Co-op Academies, history curriculum and assessment at Primary, Secondary and Post 16 level.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a1c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sz w:val="28"/>
                <w:szCs w:val="28"/>
                <w:rtl w:val="0"/>
              </w:rPr>
              <w:t xml:space="preserve">Key accountabilities</w:t>
            </w:r>
            <w:r w:rsidDel="00000000" w:rsidR="00000000" w:rsidRPr="00000000">
              <w:rPr>
                <w:color w:val="00a1cf"/>
                <w:rtl w:val="0"/>
              </w:rPr>
              <w:t xml:space="preserve"> (and specific duties / responsibilities):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Raise standards and outcomes in history across our academies in all areas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Build sustainable capacity of history teachers and leaders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Develop history curriculum and assessment resources to support effective teaching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Communicate key messages to head of history, line managers, Headteachers/Principals and Chief Education Officers.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Organise and develop the subject specific CPD for history teachers and leaders across the Trust. 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Consistently demonstrate a high standard of history teaching across our academies having a regular timetable.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Teaching in those academies that need your support the most leading by example showing what outstanding looks like on a daily basis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Deployment of Specialist Leaders of Education (SLEs) within history to support you in improving standards and outcomes in history in all areas.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Developing the number of academies that have outstanding history curriculum and teaching being delivered in lessons.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Ensuring you give excellent challenge to whom you work with to drive up standards in all areas.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Build an external network that can really help and support our academies within history.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color w:val="00a1c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00a1c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5"/>
        <w:gridCol w:w="2085"/>
        <w:gridCol w:w="1980"/>
        <w:tblGridChange w:id="0">
          <w:tblGrid>
            <w:gridCol w:w="5835"/>
            <w:gridCol w:w="2085"/>
            <w:gridCol w:w="1980"/>
          </w:tblGrid>
        </w:tblGridChange>
      </w:tblGrid>
      <w:tr>
        <w:trPr>
          <w:trHeight w:val="600" w:hRule="atLeast"/>
        </w:trPr>
        <w:tc>
          <w:tcPr>
            <w:gridSpan w:val="3"/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sz w:val="28"/>
                <w:szCs w:val="28"/>
                <w:rtl w:val="0"/>
              </w:rPr>
              <w:t xml:space="preserve">Personal attributes required </w:t>
            </w:r>
            <w:r w:rsidDel="00000000" w:rsidR="00000000" w:rsidRPr="00000000">
              <w:rPr>
                <w:color w:val="00a1cf"/>
                <w:rtl w:val="0"/>
              </w:rPr>
              <w:t xml:space="preserve">(based on job description):</w:t>
            </w:r>
          </w:p>
        </w:tc>
      </w:tr>
      <w:tr>
        <w:trPr>
          <w:trHeight w:val="600" w:hRule="atLeast"/>
        </w:trP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  <w:sz w:val="28"/>
                <w:szCs w:val="28"/>
              </w:rPr>
            </w:pPr>
            <w:r w:rsidDel="00000000" w:rsidR="00000000" w:rsidRPr="00000000">
              <w:rPr>
                <w:color w:val="00a1cf"/>
                <w:sz w:val="28"/>
                <w:szCs w:val="28"/>
                <w:rtl w:val="0"/>
              </w:rPr>
              <w:t xml:space="preserve">Attributes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All attributes are essential, unless indicated below as ‘desirable’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How measured, e.g. application form (A), interview (I)</w:t>
            </w:r>
          </w:p>
        </w:tc>
      </w:tr>
      <w:tr>
        <w:trPr>
          <w:trHeight w:val="600" w:hRule="atLeast"/>
        </w:trP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QTS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600" w:hRule="atLeast"/>
        </w:trP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extensive experience of teaching history in KS3, KS4 and ideally KS5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experience and credibility in leading others, including experience of coaching teachers to improve in history.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proven experience of identifying and implementing effective strategies for improving outcomes in schools at KS2, KS3, KS4 and preferably KS5 in history.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leading the teaching of KS2 history. 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600" w:hRule="atLeast"/>
        </w:trP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Skills, Ability, Knowledge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an outstanding history subject knowledge and be able to demonstrate their passion and enthusiasm for communicating this to others.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an up-to-date knowledge of the history curriculum and assessment requirements, and be keen to contribute to current curriculum development.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outstanding communication skills, with the ability to leverage influence with all levels of the organisation and be able to work effectively with a team of subject leaders.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an ability to combine rigour and high expectations with personal tact and discretion.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Understand and respect the importance of diverse cultures and faiths within the academies, with a commitment to equal opportunities.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ability to form and maintain appropriate relationships and boundaries with young people and colleagues.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able to build relationships quickly with teachers and headteachers/principals.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able to demonstrate resilience, motivation and commitment to driving up standards of achievement.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Have the IT competence necessary to fulfil all duties within the role.</w:t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rPr>
          <w:trHeight w:val="600" w:hRule="atLeast"/>
        </w:trPr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a1cf"/>
              </w:rPr>
            </w:pPr>
            <w:r w:rsidDel="00000000" w:rsidR="00000000" w:rsidRPr="00000000">
              <w:rPr>
                <w:color w:val="00a1cf"/>
                <w:rtl w:val="0"/>
              </w:rPr>
              <w:t xml:space="preserve">Personal Qualities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excited to share their knowledge and expertise with a diverse family of schools and be able to travel to all the academies within the Trust.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Access to your own car with a full driving license is essential.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aligned with all co-operative values and the Co-op Ways of Being.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committed to ensuring that all children in our schools receive an excellent education in a safe and stimulating environment.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720" w:firstLine="0"/>
              <w:rPr>
                <w:color w:val="00a1c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a1cf" w:space="0" w:sz="8" w:val="single"/>
              <w:left w:color="00a1cf" w:space="0" w:sz="8" w:val="single"/>
              <w:bottom w:color="00a1cf" w:space="0" w:sz="8" w:val="single"/>
              <w:right w:color="00a1c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A/I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ind w:left="-709" w:right="-805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rPr>
          <w:color w:val="00a1cf"/>
          <w:sz w:val="40"/>
          <w:szCs w:val="40"/>
        </w:rPr>
      </w:pPr>
      <w:bookmarkStart w:colFirst="0" w:colLast="0" w:name="_ur0ndn7hrbcx" w:id="1"/>
      <w:bookmarkEnd w:id="1"/>
      <w:r w:rsidDel="00000000" w:rsidR="00000000" w:rsidRPr="00000000">
        <w:rPr>
          <w:rtl w:val="0"/>
        </w:rPr>
        <w:t xml:space="preserve"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principles, and the Ways of Being Co-op.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right"/>
      <w:rPr/>
    </w:pP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-828670</wp:posOffset>
          </wp:positionH>
          <wp:positionV relativeFrom="paragraph">
            <wp:posOffset>-66671</wp:posOffset>
          </wp:positionV>
          <wp:extent cx="7835642" cy="1252538"/>
          <wp:effectExtent b="0" l="0" r="0" t="0"/>
          <wp:wrapTopAndBottom distB="114300" distT="114300"/>
          <wp:docPr descr="header background.jpg" id="1" name="image1.jpg"/>
          <a:graphic>
            <a:graphicData uri="http://schemas.openxmlformats.org/drawingml/2006/picture">
              <pic:pic>
                <pic:nvPicPr>
                  <pic:cNvPr descr="header background.jpg" id="0" name="image1.jpg"/>
                  <pic:cNvPicPr preferRelativeResize="0"/>
                </pic:nvPicPr>
                <pic:blipFill>
                  <a:blip r:embed="rId1"/>
                  <a:srcRect b="88694" l="0" r="0" t="0"/>
                  <a:stretch>
                    <a:fillRect/>
                  </a:stretch>
                </pic:blipFill>
                <pic:spPr>
                  <a:xfrm>
                    <a:off x="0" y="0"/>
                    <a:ext cx="7835642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