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PT Sans" w:cs="PT Sans" w:eastAsia="PT Sans" w:hAnsi="PT Sans"/>
          <w:b w:val="1"/>
          <w:color w:val="0000ff"/>
          <w:sz w:val="22"/>
          <w:szCs w:val="22"/>
          <w:u w:val="single"/>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4">
      <w:pPr>
        <w:ind w:left="216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t xml:space="preserve">Midday Assistant</w:t>
      </w: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ab/>
        <w:t xml:space="preserve">Plumberow Primary Academy</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of work:</w:t>
        <w:tab/>
        <w:t xml:space="preserve"> </w:t>
        <w:tab/>
        <w:t xml:space="preserve">7.5 hours per week</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t xml:space="preserve">Executive Headteacher and Headteacher </w:t>
      </w:r>
      <w:r w:rsidDel="00000000" w:rsidR="00000000" w:rsidRPr="00000000">
        <w:rPr>
          <w:rtl w:val="0"/>
        </w:rPr>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To take control of all children on the school premises during the midday break, plus any other duties that can be reasonably asked of you under the direction of the Executive Headteacher and Headteacher.</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5">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assist children in selecting their meal and sitting in an appropriate place to eat it</w:t>
      </w:r>
      <w:r w:rsidDel="00000000" w:rsidR="00000000" w:rsidRPr="00000000">
        <w:rPr>
          <w:rtl w:val="0"/>
        </w:rPr>
      </w:r>
    </w:p>
    <w:p w:rsidR="00000000" w:rsidDel="00000000" w:rsidP="00000000" w:rsidRDefault="00000000" w:rsidRPr="00000000" w14:paraId="00000016">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deal with spillages and clear tables when meals are finished</w:t>
      </w:r>
      <w:r w:rsidDel="00000000" w:rsidR="00000000" w:rsidRPr="00000000">
        <w:rPr>
          <w:rtl w:val="0"/>
        </w:rPr>
      </w:r>
    </w:p>
    <w:p w:rsidR="00000000" w:rsidDel="00000000" w:rsidP="00000000" w:rsidRDefault="00000000" w:rsidRPr="00000000" w14:paraId="00000017">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maintain good order and discipline among pupils with particular reference to health and safety</w:t>
      </w: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enforce the necessary sanctions to maintain good order, in accordance with school policy on behaviour management</w:t>
      </w:r>
      <w:r w:rsidDel="00000000" w:rsidR="00000000" w:rsidRPr="00000000">
        <w:rPr>
          <w:rtl w:val="0"/>
        </w:rPr>
      </w:r>
    </w:p>
    <w:p w:rsidR="00000000" w:rsidDel="00000000" w:rsidP="00000000" w:rsidRDefault="00000000" w:rsidRPr="00000000" w14:paraId="00000019">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administer first aid if appropriately qualified to do so</w:t>
      </w:r>
      <w:r w:rsidDel="00000000" w:rsidR="00000000" w:rsidRPr="00000000">
        <w:rPr>
          <w:rtl w:val="0"/>
        </w:rPr>
      </w:r>
    </w:p>
    <w:p w:rsidR="00000000" w:rsidDel="00000000" w:rsidP="00000000" w:rsidRDefault="00000000" w:rsidRPr="00000000" w14:paraId="0000001A">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keep daily records of first aid administered and record any other incidents in the Blue Book</w:t>
      </w:r>
      <w:r w:rsidDel="00000000" w:rsidR="00000000" w:rsidRPr="00000000">
        <w:rPr>
          <w:rtl w:val="0"/>
        </w:rPr>
      </w:r>
    </w:p>
    <w:p w:rsidR="00000000" w:rsidDel="00000000" w:rsidP="00000000" w:rsidRDefault="00000000" w:rsidRPr="00000000" w14:paraId="0000001B">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Report to staff, as necessary, on behaviour and sanctions employed and any first aid incidents.</w:t>
      </w:r>
      <w:r w:rsidDel="00000000" w:rsidR="00000000" w:rsidRPr="00000000">
        <w:rPr>
          <w:rtl w:val="0"/>
        </w:rPr>
      </w:r>
    </w:p>
    <w:p w:rsidR="00000000" w:rsidDel="00000000" w:rsidP="00000000" w:rsidRDefault="00000000" w:rsidRPr="00000000" w14:paraId="0000001C">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Provide pastoral care, guidance and advice to pupils as appropriate and have their welfare of paramount importance at all times</w:t>
      </w:r>
      <w:r w:rsidDel="00000000" w:rsidR="00000000" w:rsidRPr="00000000">
        <w:rPr>
          <w:rtl w:val="0"/>
        </w:rPr>
      </w:r>
    </w:p>
    <w:p w:rsidR="00000000" w:rsidDel="00000000" w:rsidP="00000000" w:rsidRDefault="00000000" w:rsidRPr="00000000" w14:paraId="0000001D">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assist with the moving of tables and chairs if necessary</w:t>
      </w:r>
      <w:r w:rsidDel="00000000" w:rsidR="00000000" w:rsidRPr="00000000">
        <w:rPr>
          <w:rtl w:val="0"/>
        </w:rPr>
      </w:r>
    </w:p>
    <w:p w:rsidR="00000000" w:rsidDel="00000000" w:rsidP="00000000" w:rsidRDefault="00000000" w:rsidRPr="00000000" w14:paraId="0000001E">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oversee the getting out and putting away of the playground activities</w:t>
      </w:r>
      <w:r w:rsidDel="00000000" w:rsidR="00000000" w:rsidRPr="00000000">
        <w:rPr>
          <w:rtl w:val="0"/>
        </w:rPr>
      </w:r>
    </w:p>
    <w:p w:rsidR="00000000" w:rsidDel="00000000" w:rsidP="00000000" w:rsidRDefault="00000000" w:rsidRPr="00000000" w14:paraId="0000001F">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alert the Headteacher about any concerns regarding an individual child</w:t>
      </w:r>
      <w:r w:rsidDel="00000000" w:rsidR="00000000" w:rsidRPr="00000000">
        <w:rPr>
          <w:rtl w:val="0"/>
        </w:rPr>
      </w:r>
    </w:p>
    <w:p w:rsidR="00000000" w:rsidDel="00000000" w:rsidP="00000000" w:rsidRDefault="00000000" w:rsidRPr="00000000" w14:paraId="00000020">
      <w:pPr>
        <w:numPr>
          <w:ilvl w:val="0"/>
          <w:numId w:val="3"/>
        </w:numPr>
        <w:spacing w:line="276" w:lineRule="auto"/>
        <w:ind w:left="720" w:hanging="360"/>
        <w:rPr>
          <w:rFonts w:ascii="Arial" w:cs="Arial" w:eastAsia="Arial" w:hAnsi="Arial"/>
          <w:b w:val="0"/>
          <w:color w:val="000000"/>
          <w:sz w:val="20"/>
          <w:szCs w:val="20"/>
        </w:rPr>
      </w:pPr>
      <w:r w:rsidDel="00000000" w:rsidR="00000000" w:rsidRPr="00000000">
        <w:rPr>
          <w:rFonts w:ascii="Arial" w:cs="Arial" w:eastAsia="Arial" w:hAnsi="Arial"/>
          <w:color w:val="222222"/>
          <w:sz w:val="20"/>
          <w:szCs w:val="20"/>
          <w:rtl w:val="0"/>
        </w:rPr>
        <w:t xml:space="preserve">To maintain and respect confidentiality at all time</w:t>
      </w:r>
      <w:r w:rsidDel="00000000" w:rsidR="00000000" w:rsidRPr="00000000">
        <w:rPr>
          <w:rtl w:val="0"/>
        </w:rPr>
      </w:r>
    </w:p>
    <w:p w:rsidR="00000000" w:rsidDel="00000000" w:rsidP="00000000" w:rsidRDefault="00000000" w:rsidRPr="00000000" w14:paraId="00000021">
      <w:pPr>
        <w:numPr>
          <w:ilvl w:val="0"/>
          <w:numId w:val="3"/>
        </w:numPr>
        <w:spacing w:line="276" w:lineRule="auto"/>
        <w:ind w:left="720" w:hanging="360"/>
        <w:rPr>
          <w:rFonts w:ascii="Arial" w:cs="Arial" w:eastAsia="Arial" w:hAnsi="Arial"/>
          <w:b w:val="0"/>
          <w:color w:val="222222"/>
          <w:sz w:val="20"/>
          <w:szCs w:val="20"/>
        </w:rPr>
      </w:pPr>
      <w:r w:rsidDel="00000000" w:rsidR="00000000" w:rsidRPr="00000000">
        <w:rPr>
          <w:rFonts w:ascii="Arial" w:cs="Arial" w:eastAsia="Arial" w:hAnsi="Arial"/>
          <w:color w:val="222222"/>
          <w:sz w:val="20"/>
          <w:szCs w:val="20"/>
          <w:rtl w:val="0"/>
        </w:rPr>
        <w:t xml:space="preserve">To assist with the children’s activities and help with the playground zoning organisation</w:t>
      </w:r>
    </w:p>
    <w:p w:rsidR="00000000" w:rsidDel="00000000" w:rsidP="00000000" w:rsidRDefault="00000000" w:rsidRPr="00000000" w14:paraId="00000022">
      <w:pPr>
        <w:spacing w:line="276" w:lineRule="auto"/>
        <w:ind w:left="720" w:firstLine="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3">
      <w:pPr>
        <w:spacing w:line="276" w:lineRule="auto"/>
        <w:ind w:left="720" w:firstLine="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post-holder is also required to undertake such other duties and training as may be required by or on behalf of Academies Enterprise Trust provided that they are consistent with the nature of the post</w:t>
      </w:r>
    </w:p>
    <w:p w:rsidR="00000000" w:rsidDel="00000000" w:rsidP="00000000" w:rsidRDefault="00000000" w:rsidRPr="00000000" w14:paraId="00000024">
      <w:pPr>
        <w:tabs>
          <w:tab w:val="left" w:pos="420"/>
        </w:tabs>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27">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9">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2B">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2D">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2E">
      <w:pPr>
        <w:numPr>
          <w:ilvl w:val="0"/>
          <w:numId w:val="5"/>
        </w:numPr>
        <w:ind w:left="720" w:hanging="360"/>
        <w:rPr>
          <w:rFonts w:ascii="Arial" w:cs="Arial" w:eastAsia="Arial" w:hAnsi="Arial"/>
          <w:b w:val="0"/>
          <w:color w:val="000000"/>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2F">
      <w:pPr>
        <w:numPr>
          <w:ilvl w:val="0"/>
          <w:numId w:val="5"/>
        </w:numPr>
        <w:ind w:left="720" w:hanging="360"/>
        <w:rPr>
          <w:rFonts w:ascii="Arial" w:cs="Arial" w:eastAsia="Arial" w:hAnsi="Arial"/>
          <w:b w:val="0"/>
          <w:color w:val="000000"/>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30">
      <w:pPr>
        <w:numPr>
          <w:ilvl w:val="0"/>
          <w:numId w:val="5"/>
        </w:numPr>
        <w:ind w:left="720" w:hanging="360"/>
        <w:rPr>
          <w:rFonts w:ascii="Arial" w:cs="Arial" w:eastAsia="Arial" w:hAnsi="Arial"/>
          <w:b w:val="0"/>
          <w:color w:val="000000"/>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31">
      <w:pPr>
        <w:numPr>
          <w:ilvl w:val="0"/>
          <w:numId w:val="5"/>
        </w:numPr>
        <w:ind w:left="720" w:hanging="360"/>
        <w:rPr>
          <w:rFonts w:ascii="Arial" w:cs="Arial" w:eastAsia="Arial" w:hAnsi="Arial"/>
          <w:b w:val="0"/>
          <w:color w:val="000000"/>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32">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36">
      <w:pPr>
        <w:numPr>
          <w:ilvl w:val="0"/>
          <w:numId w:val="4"/>
        </w:numPr>
        <w:spacing w:line="276" w:lineRule="auto"/>
        <w:ind w:left="720" w:hanging="360"/>
        <w:rPr>
          <w:rFonts w:ascii="Arial" w:cs="Arial" w:eastAsia="Arial" w:hAnsi="Arial"/>
          <w:b w:val="0"/>
          <w:color w:val="222222"/>
          <w:sz w:val="20"/>
          <w:szCs w:val="20"/>
        </w:rPr>
      </w:pPr>
      <w:r w:rsidDel="00000000" w:rsidR="00000000" w:rsidRPr="00000000">
        <w:rPr>
          <w:rFonts w:ascii="Arial" w:cs="Arial" w:eastAsia="Arial" w:hAnsi="Arial"/>
          <w:color w:val="222222"/>
          <w:sz w:val="20"/>
          <w:szCs w:val="20"/>
          <w:rtl w:val="0"/>
        </w:rPr>
        <w:t xml:space="preserve">The above responsibilities are subject to the general duties and responsibilities contained in the Statement of Conditions of Employment/Teachers’ Pay and Conditions</w:t>
      </w:r>
      <w:r w:rsidDel="00000000" w:rsidR="00000000" w:rsidRPr="00000000">
        <w:rPr>
          <w:rFonts w:ascii="Arial" w:cs="Arial" w:eastAsia="Arial" w:hAnsi="Arial"/>
          <w:color w:val="222222"/>
          <w:sz w:val="20"/>
          <w:szCs w:val="20"/>
          <w:highlight w:val="yellow"/>
          <w:rtl w:val="0"/>
        </w:rPr>
        <w:t xml:space="preserve">.</w:t>
      </w:r>
      <w:r w:rsidDel="00000000" w:rsidR="00000000" w:rsidRPr="00000000">
        <w:rPr>
          <w:rtl w:val="0"/>
        </w:rPr>
      </w:r>
    </w:p>
    <w:p w:rsidR="00000000" w:rsidDel="00000000" w:rsidP="00000000" w:rsidRDefault="00000000" w:rsidRPr="00000000" w14:paraId="00000037">
      <w:pPr>
        <w:numPr>
          <w:ilvl w:val="0"/>
          <w:numId w:val="4"/>
        </w:numPr>
        <w:spacing w:line="276" w:lineRule="auto"/>
        <w:ind w:left="720" w:hanging="360"/>
        <w:rPr>
          <w:rFonts w:ascii="Arial" w:cs="Arial" w:eastAsia="Arial" w:hAnsi="Arial"/>
          <w:b w:val="0"/>
          <w:color w:val="222222"/>
          <w:sz w:val="20"/>
          <w:szCs w:val="20"/>
        </w:rPr>
      </w:pPr>
      <w:r w:rsidDel="00000000" w:rsidR="00000000" w:rsidRPr="00000000">
        <w:rPr>
          <w:rFonts w:ascii="Arial" w:cs="Arial" w:eastAsia="Arial" w:hAnsi="Arial"/>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8">
      <w:pPr>
        <w:numPr>
          <w:ilvl w:val="0"/>
          <w:numId w:val="4"/>
        </w:numPr>
        <w:spacing w:line="276" w:lineRule="auto"/>
        <w:ind w:left="720" w:hanging="360"/>
        <w:rPr>
          <w:rFonts w:ascii="Arial" w:cs="Arial" w:eastAsia="Arial" w:hAnsi="Arial"/>
          <w:b w:val="0"/>
          <w:color w:val="222222"/>
          <w:sz w:val="20"/>
          <w:szCs w:val="20"/>
        </w:rPr>
      </w:pPr>
      <w:r w:rsidDel="00000000" w:rsidR="00000000" w:rsidRPr="00000000">
        <w:rPr>
          <w:rFonts w:ascii="Arial" w:cs="Arial" w:eastAsia="Arial" w:hAnsi="Arial"/>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9">
      <w:pPr>
        <w:numPr>
          <w:ilvl w:val="0"/>
          <w:numId w:val="4"/>
        </w:numPr>
        <w:spacing w:line="276" w:lineRule="auto"/>
        <w:ind w:left="720" w:hanging="360"/>
        <w:rPr>
          <w:rFonts w:ascii="Arial" w:cs="Arial" w:eastAsia="Arial" w:hAnsi="Arial"/>
          <w:b w:val="0"/>
          <w:color w:val="222222"/>
          <w:sz w:val="20"/>
          <w:szCs w:val="20"/>
        </w:rPr>
      </w:pPr>
      <w:r w:rsidDel="00000000" w:rsidR="00000000" w:rsidRPr="00000000">
        <w:rPr>
          <w:rFonts w:ascii="Arial" w:cs="Arial" w:eastAsia="Arial" w:hAnsi="Arial"/>
          <w:color w:val="222222"/>
          <w:sz w:val="20"/>
          <w:szCs w:val="20"/>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3A">
      <w:pPr>
        <w:numPr>
          <w:ilvl w:val="0"/>
          <w:numId w:val="4"/>
        </w:numPr>
        <w:spacing w:line="276" w:lineRule="auto"/>
        <w:ind w:left="720" w:hanging="360"/>
        <w:rPr>
          <w:rFonts w:ascii="Arial" w:cs="Arial" w:eastAsia="Arial" w:hAnsi="Arial"/>
          <w:b w:val="0"/>
          <w:color w:val="222222"/>
          <w:sz w:val="20"/>
          <w:szCs w:val="20"/>
        </w:rPr>
      </w:pPr>
      <w:r w:rsidDel="00000000" w:rsidR="00000000" w:rsidRPr="00000000">
        <w:rPr>
          <w:rFonts w:ascii="Arial" w:cs="Arial" w:eastAsia="Arial" w:hAnsi="Arial"/>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B">
      <w:pPr>
        <w:numPr>
          <w:ilvl w:val="0"/>
          <w:numId w:val="4"/>
        </w:numPr>
        <w:spacing w:line="276" w:lineRule="auto"/>
        <w:ind w:left="720" w:hanging="360"/>
        <w:rPr>
          <w:rFonts w:ascii="Arial" w:cs="Arial" w:eastAsia="Arial" w:hAnsi="Arial"/>
          <w:b w:val="0"/>
          <w:color w:val="222222"/>
          <w:sz w:val="20"/>
          <w:szCs w:val="20"/>
        </w:rPr>
      </w:pPr>
      <w:r w:rsidDel="00000000" w:rsidR="00000000" w:rsidRPr="00000000">
        <w:rPr>
          <w:rFonts w:ascii="Arial" w:cs="Arial" w:eastAsia="Arial" w:hAnsi="Arial"/>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3C">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3D">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3E">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3F">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0">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4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4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Midday Assistant</w:t>
      </w:r>
    </w:p>
    <w:p w:rsidR="00000000" w:rsidDel="00000000" w:rsidP="00000000" w:rsidRDefault="00000000" w:rsidRPr="00000000" w14:paraId="0000004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tbl>
      <w:tblPr>
        <w:tblStyle w:val="Table1"/>
        <w:tblW w:w="1077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0"/>
        <w:gridCol w:w="2475"/>
        <w:gridCol w:w="3192"/>
        <w:gridCol w:w="2615"/>
        <w:tblGridChange w:id="0">
          <w:tblGrid>
            <w:gridCol w:w="2490"/>
            <w:gridCol w:w="2475"/>
            <w:gridCol w:w="3192"/>
            <w:gridCol w:w="2615"/>
          </w:tblGrid>
        </w:tblGridChange>
      </w:tblGrid>
      <w:tr>
        <w:tc>
          <w:tcPr/>
          <w:p w:rsidR="00000000" w:rsidDel="00000000" w:rsidP="00000000" w:rsidRDefault="00000000" w:rsidRPr="00000000" w14:paraId="0000004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tcBorders>
              <w:bottom w:color="000000" w:space="0" w:sz="0" w:val="nil"/>
            </w:tcBorders>
          </w:tcPr>
          <w:p w:rsidR="00000000" w:rsidDel="00000000" w:rsidP="00000000" w:rsidRDefault="00000000" w:rsidRPr="00000000" w14:paraId="0000005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54">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Not Applicable</w:t>
            </w:r>
            <w:r w:rsidDel="00000000" w:rsidR="00000000" w:rsidRPr="00000000">
              <w:rPr>
                <w:rtl w:val="0"/>
              </w:rPr>
            </w:r>
          </w:p>
        </w:tc>
        <w:tc>
          <w:tcPr/>
          <w:p w:rsidR="00000000" w:rsidDel="00000000" w:rsidP="00000000" w:rsidRDefault="00000000" w:rsidRPr="00000000" w14:paraId="00000055">
            <w:pPr>
              <w:ind w:left="720" w:firstLine="0"/>
              <w:rPr>
                <w:rFonts w:ascii="Calibri" w:cs="Calibri" w:eastAsia="Calibri" w:hAnsi="Calibri"/>
                <w:sz w:val="20"/>
                <w:szCs w:val="20"/>
              </w:rPr>
            </w:pPr>
            <w:r w:rsidDel="00000000" w:rsidR="00000000" w:rsidRPr="00000000">
              <w:rPr>
                <w:rtl w:val="0"/>
              </w:rPr>
            </w:r>
          </w:p>
        </w:tc>
      </w:tr>
      <w:tr>
        <w:trPr>
          <w:trHeight w:val="200" w:hRule="atLeast"/>
        </w:trPr>
        <w:tc>
          <w:tcPr/>
          <w:p w:rsidR="00000000" w:rsidDel="00000000" w:rsidP="00000000" w:rsidRDefault="00000000" w:rsidRPr="00000000" w14:paraId="000000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59">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The post holder will have basic knowledge of Health and Safety, First Aid, Lifting and Handling and Fire Prevention for which appropriate training will be provided Use of equipment/resources</w:t>
            </w:r>
            <w:r w:rsidDel="00000000" w:rsidR="00000000" w:rsidRPr="00000000">
              <w:rPr>
                <w:rtl w:val="0"/>
              </w:rPr>
            </w:r>
          </w:p>
          <w:p w:rsidR="00000000" w:rsidDel="00000000" w:rsidP="00000000" w:rsidRDefault="00000000" w:rsidRPr="00000000" w14:paraId="0000005A">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Experience of working with young people</w:t>
            </w:r>
          </w:p>
          <w:p w:rsidR="00000000" w:rsidDel="00000000" w:rsidP="00000000" w:rsidRDefault="00000000" w:rsidRPr="00000000" w14:paraId="0000005B">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Full working knowledge of relevant policies/codes of practice/legislation</w:t>
            </w:r>
          </w:p>
        </w:tc>
        <w:tc>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tl w:val="0"/>
              </w:rPr>
            </w:r>
          </w:p>
        </w:tc>
      </w:tr>
      <w:tr>
        <w:trPr>
          <w:trHeight w:val="200" w:hRule="atLeast"/>
        </w:trPr>
        <w:tc>
          <w:tcPr/>
          <w:p w:rsidR="00000000" w:rsidDel="00000000" w:rsidP="00000000" w:rsidRDefault="00000000" w:rsidRPr="00000000" w14:paraId="000000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5F">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Ability to relate well to pupils and adults</w:t>
            </w:r>
            <w:r w:rsidDel="00000000" w:rsidR="00000000" w:rsidRPr="00000000">
              <w:rPr>
                <w:rtl w:val="0"/>
              </w:rPr>
            </w:r>
          </w:p>
          <w:p w:rsidR="00000000" w:rsidDel="00000000" w:rsidP="00000000" w:rsidRDefault="00000000" w:rsidRPr="00000000" w14:paraId="00000060">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Empathy with children</w:t>
            </w:r>
          </w:p>
          <w:p w:rsidR="00000000" w:rsidDel="00000000" w:rsidP="00000000" w:rsidRDefault="00000000" w:rsidRPr="00000000" w14:paraId="00000061">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Good organisation skills</w:t>
            </w:r>
          </w:p>
          <w:p w:rsidR="00000000" w:rsidDel="00000000" w:rsidP="00000000" w:rsidRDefault="00000000" w:rsidRPr="00000000" w14:paraId="00000062">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Ability to remain calm under pressure</w:t>
            </w:r>
          </w:p>
          <w:p w:rsidR="00000000" w:rsidDel="00000000" w:rsidP="00000000" w:rsidRDefault="00000000" w:rsidRPr="00000000" w14:paraId="00000063">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Ability to manage own time effectively</w:t>
            </w:r>
          </w:p>
          <w:p w:rsidR="00000000" w:rsidDel="00000000" w:rsidP="00000000" w:rsidRDefault="00000000" w:rsidRPr="00000000" w14:paraId="00000064">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Demonstrate creativity and an ability to resolve routine problems independently</w:t>
            </w:r>
          </w:p>
          <w:p w:rsidR="00000000" w:rsidDel="00000000" w:rsidP="00000000" w:rsidRDefault="00000000" w:rsidRPr="00000000" w14:paraId="00000065">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Adaptable and flexible with the ability to work as part of a team</w:t>
            </w:r>
          </w:p>
        </w:tc>
        <w:tc>
          <w:tcPr/>
          <w:p w:rsidR="00000000" w:rsidDel="00000000" w:rsidP="00000000" w:rsidRDefault="00000000" w:rsidRPr="00000000" w14:paraId="00000066">
            <w:pPr>
              <w:ind w:left="720" w:firstLine="0"/>
              <w:rPr>
                <w:rFonts w:ascii="Calibri" w:cs="Calibri" w:eastAsia="Calibri" w:hAnsi="Calibri"/>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6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tc>
        <w:tc>
          <w:tcPr/>
          <w:p w:rsidR="00000000" w:rsidDel="00000000" w:rsidP="00000000" w:rsidRDefault="00000000" w:rsidRPr="00000000" w14:paraId="00000068">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Behaviours</w:t>
            </w:r>
          </w:p>
        </w:tc>
        <w:tc>
          <w:tcPr/>
          <w:p w:rsidR="00000000" w:rsidDel="00000000" w:rsidP="00000000" w:rsidRDefault="00000000" w:rsidRPr="00000000" w14:paraId="00000069">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Ability to use clear language to communicate information</w:t>
            </w:r>
            <w:r w:rsidDel="00000000" w:rsidR="00000000" w:rsidRPr="00000000">
              <w:rPr>
                <w:rtl w:val="0"/>
              </w:rPr>
            </w:r>
          </w:p>
          <w:p w:rsidR="00000000" w:rsidDel="00000000" w:rsidP="00000000" w:rsidRDefault="00000000" w:rsidRPr="00000000" w14:paraId="0000006A">
            <w:pPr>
              <w:numPr>
                <w:ilvl w:val="0"/>
                <w:numId w:val="2"/>
              </w:numPr>
              <w:ind w:left="720" w:hanging="360"/>
              <w:rPr>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Ability to listen effectively</w:t>
            </w:r>
          </w:p>
          <w:p w:rsidR="00000000" w:rsidDel="00000000" w:rsidP="00000000" w:rsidRDefault="00000000" w:rsidRPr="00000000" w14:paraId="0000006B">
            <w:pPr>
              <w:numPr>
                <w:ilvl w:val="0"/>
                <w:numId w:val="2"/>
              </w:numPr>
              <w:ind w:left="720" w:hanging="360"/>
              <w:rPr>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Understand procedures and legislation relating to confidentiality </w:t>
            </w:r>
          </w:p>
          <w:p w:rsidR="00000000" w:rsidDel="00000000" w:rsidP="00000000" w:rsidRDefault="00000000" w:rsidRPr="00000000" w14:paraId="0000006C">
            <w:pPr>
              <w:numPr>
                <w:ilvl w:val="0"/>
                <w:numId w:val="2"/>
              </w:numPr>
              <w:ind w:left="720" w:hanging="360"/>
              <w:rPr>
                <w:sz w:val="20"/>
                <w:szCs w:val="20"/>
              </w:rPr>
            </w:pPr>
            <w:bookmarkStart w:colFirst="0" w:colLast="0" w:name="_3znysh7" w:id="3"/>
            <w:bookmarkEnd w:id="3"/>
            <w:r w:rsidDel="00000000" w:rsidR="00000000" w:rsidRPr="00000000">
              <w:rPr>
                <w:rFonts w:ascii="Arial" w:cs="Arial" w:eastAsia="Arial" w:hAnsi="Arial"/>
                <w:sz w:val="20"/>
                <w:szCs w:val="20"/>
                <w:rtl w:val="0"/>
              </w:rPr>
              <w:t xml:space="preserve">Be prepared to learn and develop in the role</w:t>
            </w:r>
          </w:p>
          <w:p w:rsidR="00000000" w:rsidDel="00000000" w:rsidP="00000000" w:rsidRDefault="00000000" w:rsidRPr="00000000" w14:paraId="0000006D">
            <w:pPr>
              <w:numPr>
                <w:ilvl w:val="0"/>
                <w:numId w:val="2"/>
              </w:numPr>
              <w:ind w:left="720" w:hanging="360"/>
              <w:rPr>
                <w:sz w:val="20"/>
                <w:szCs w:val="20"/>
              </w:rPr>
            </w:pPr>
            <w:bookmarkStart w:colFirst="0" w:colLast="0" w:name="_2et92p0" w:id="4"/>
            <w:bookmarkEnd w:id="4"/>
            <w:r w:rsidDel="00000000" w:rsidR="00000000" w:rsidRPr="00000000">
              <w:rPr>
                <w:rFonts w:ascii="Arial" w:cs="Arial" w:eastAsia="Arial" w:hAnsi="Arial"/>
                <w:sz w:val="20"/>
                <w:szCs w:val="20"/>
                <w:rtl w:val="0"/>
              </w:rPr>
              <w:t xml:space="preserve">Commitment to the academy’s aims, ethos and vision</w:t>
            </w:r>
          </w:p>
        </w:tc>
        <w:tc>
          <w:tcPr/>
          <w:p w:rsidR="00000000" w:rsidDel="00000000" w:rsidP="00000000" w:rsidRDefault="00000000" w:rsidRPr="00000000" w14:paraId="0000006E">
            <w:pPr>
              <w:ind w:left="720" w:firstLine="0"/>
              <w:rPr>
                <w:rFonts w:ascii="Calibri" w:cs="Calibri" w:eastAsia="Calibri" w:hAnsi="Calibri"/>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6F">
            <w:pPr>
              <w:widowControl w:val="0"/>
              <w:spacing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Values </w:t>
            </w:r>
          </w:p>
        </w:tc>
        <w:tc>
          <w:tcPr/>
          <w:p w:rsidR="00000000" w:rsidDel="00000000" w:rsidP="00000000" w:rsidRDefault="00000000" w:rsidRPr="00000000" w14:paraId="00000071">
            <w:pPr>
              <w:numPr>
                <w:ilvl w:val="0"/>
                <w:numId w:val="1"/>
              </w:numPr>
              <w:ind w:left="720" w:hanging="360"/>
              <w:rPr>
                <w:rFonts w:ascii="Calibri" w:cs="Calibri" w:eastAsia="Calibri" w:hAnsi="Calibri"/>
                <w:sz w:val="20"/>
                <w:szCs w:val="20"/>
              </w:rPr>
            </w:pPr>
            <w:r w:rsidDel="00000000" w:rsidR="00000000" w:rsidRPr="00000000">
              <w:rPr>
                <w:rFonts w:ascii="Arial" w:cs="Arial" w:eastAsia="Arial" w:hAnsi="Arial"/>
                <w:sz w:val="20"/>
                <w:szCs w:val="20"/>
                <w:rtl w:val="0"/>
              </w:rPr>
              <w:t xml:space="preserve">Ability to demonstrate, understand and apply our values</w:t>
            </w:r>
            <w:r w:rsidDel="00000000" w:rsidR="00000000" w:rsidRPr="00000000">
              <w:rPr>
                <w:rtl w:val="0"/>
              </w:rPr>
            </w:r>
          </w:p>
          <w:p w:rsidR="00000000" w:rsidDel="00000000" w:rsidP="00000000" w:rsidRDefault="00000000" w:rsidRPr="00000000" w14:paraId="00000072">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73">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74">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75">
            <w:pPr>
              <w:numPr>
                <w:ilvl w:val="1"/>
                <w:numId w:val="1"/>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tc>
        <w:tc>
          <w:tcPr/>
          <w:p w:rsidR="00000000" w:rsidDel="00000000" w:rsidP="00000000" w:rsidRDefault="00000000" w:rsidRPr="00000000" w14:paraId="00000076">
            <w:pPr>
              <w:ind w:left="720" w:hanging="36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7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9">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7A">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7B">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7C">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Ability to travel as required</w:t>
            </w:r>
          </w:p>
        </w:tc>
        <w:tc>
          <w:tcPr/>
          <w:p w:rsidR="00000000" w:rsidDel="00000000" w:rsidP="00000000" w:rsidRDefault="00000000" w:rsidRPr="00000000" w14:paraId="0000007D">
            <w:pPr>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E">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F">
      <w:pPr>
        <w:pStyle w:val="Heading1"/>
        <w:spacing w:after="120" w:before="120" w:lineRule="auto"/>
        <w:ind w:left="360"/>
        <w:jc w:val="righ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8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2">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Plumberow-New-Logo-rev (1).png" id="9" name="Shape 9"/>
                        <pic:cNvPicPr preferRelativeResize="0"/>
                      </pic:nvPicPr>
                      <pic:blipFill rotWithShape="1">
                        <a:blip r:embed="rId1">
                          <a:alphaModFix/>
                        </a:blip>
                        <a:srcRect b="0" l="8353" r="8361" t="0"/>
                        <a:stretch/>
                      </pic:blipFill>
                      <pic:spPr>
                        <a:xfrm>
                          <a:off x="269275" y="70650"/>
                          <a:ext cx="2500151" cy="698851"/>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