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14447" w:rsidRDefault="00714447" w:rsidP="007D160F">
      <w:pPr>
        <w:autoSpaceDE w:val="0"/>
        <w:autoSpaceDN w:val="0"/>
        <w:adjustRightInd w:val="0"/>
        <w:spacing w:after="0" w:line="240" w:lineRule="auto"/>
        <w:jc w:val="both"/>
        <w:rPr>
          <w:rFonts w:ascii="Arial" w:hAnsi="Arial" w:cs="Arial"/>
          <w:b/>
          <w:sz w:val="24"/>
          <w:szCs w:val="24"/>
        </w:rPr>
      </w:pPr>
      <w:r>
        <w:rPr>
          <w:noProof/>
          <w:sz w:val="20"/>
          <w:lang w:eastAsia="en-GB"/>
        </w:rPr>
        <mc:AlternateContent>
          <mc:Choice Requires="wps">
            <w:drawing>
              <wp:anchor distT="0" distB="0" distL="114300" distR="114300" simplePos="0" relativeHeight="251659264" behindDoc="0" locked="0" layoutInCell="1" allowOverlap="1" wp14:anchorId="279541E9" wp14:editId="240E4C81">
                <wp:simplePos x="0" y="0"/>
                <wp:positionH relativeFrom="margin">
                  <wp:align>right</wp:align>
                </wp:positionH>
                <wp:positionV relativeFrom="paragraph">
                  <wp:posOffset>20955</wp:posOffset>
                </wp:positionV>
                <wp:extent cx="6060558" cy="38100"/>
                <wp:effectExtent l="0" t="19050" r="54610" b="381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558" cy="381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951E" id="Line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6pt,1.65pt" to="90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" strokeweight="4.5pt">
                <w10:wrap anchorx="margin"/>
              </v:line>
            </w:pict>
          </mc:Fallback>
        </mc:AlternateContent>
      </w:r>
    </w:p>
    <w:p w:rsidR="00FF74DA" w:rsidRDefault="00662CA2" w:rsidP="00714447">
      <w:pPr>
        <w:pStyle w:val="Heading1"/>
      </w:pPr>
      <w:r>
        <w:t>DIRECTOR</w:t>
      </w:r>
      <w:r w:rsidR="00714447">
        <w:t xml:space="preserve"> OF </w:t>
      </w:r>
      <w:r w:rsidR="00503A20">
        <w:t>RELIGIOUS STUDIES</w:t>
      </w:r>
      <w:r>
        <w:t xml:space="preserve"> – DEPARTMENT INFORMATION</w:t>
      </w:r>
    </w:p>
    <w:p w:rsidR="00714447" w:rsidRDefault="00714447" w:rsidP="007D160F">
      <w:pPr>
        <w:autoSpaceDE w:val="0"/>
        <w:autoSpaceDN w:val="0"/>
        <w:adjustRightInd w:val="0"/>
        <w:spacing w:after="0" w:line="240" w:lineRule="auto"/>
        <w:jc w:val="both"/>
        <w:rPr>
          <w:rFonts w:ascii="Arial" w:hAnsi="Arial" w:cs="Arial"/>
          <w:b/>
          <w:sz w:val="24"/>
          <w:szCs w:val="24"/>
        </w:rPr>
      </w:pPr>
    </w:p>
    <w:p w:rsidR="00B42705" w:rsidRDefault="00714447" w:rsidP="007D160F">
      <w:pPr>
        <w:autoSpaceDE w:val="0"/>
        <w:autoSpaceDN w:val="0"/>
        <w:adjustRightInd w:val="0"/>
        <w:spacing w:after="0" w:line="240" w:lineRule="auto"/>
        <w:jc w:val="both"/>
        <w:rPr>
          <w:rFonts w:ascii="Arial" w:hAnsi="Arial" w:cs="Arial"/>
          <w:b/>
          <w:sz w:val="24"/>
          <w:szCs w:val="24"/>
        </w:rPr>
      </w:pPr>
      <w:r>
        <w:rPr>
          <w:noProof/>
          <w:sz w:val="20"/>
          <w:lang w:eastAsia="en-GB"/>
        </w:rPr>
        <mc:AlternateContent>
          <mc:Choice Requires="wps">
            <w:drawing>
              <wp:anchor distT="0" distB="0" distL="114300" distR="114300" simplePos="0" relativeHeight="251661312" behindDoc="0" locked="0" layoutInCell="1" allowOverlap="1" wp14:anchorId="279541E9" wp14:editId="240E4C81">
                <wp:simplePos x="0" y="0"/>
                <wp:positionH relativeFrom="margin">
                  <wp:align>right</wp:align>
                </wp:positionH>
                <wp:positionV relativeFrom="paragraph">
                  <wp:posOffset>22299</wp:posOffset>
                </wp:positionV>
                <wp:extent cx="6060440" cy="31898"/>
                <wp:effectExtent l="0" t="19050" r="54610" b="444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31898"/>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A26E9" id="Line 7"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6pt,1.75pt" to="903.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deXFgIAAC0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" strokeweight="4.5pt">
                <w10:wrap anchorx="margin"/>
              </v:line>
            </w:pict>
          </mc:Fallback>
        </mc:AlternateContent>
      </w:r>
    </w:p>
    <w:p w:rsidR="00F257D4" w:rsidRDefault="00F257D4" w:rsidP="00F257D4">
      <w:pPr>
        <w:keepNext/>
        <w:keepLines/>
        <w:spacing w:before="40" w:line="240" w:lineRule="auto"/>
        <w:outlineLvl w:val="1"/>
        <w:rPr>
          <w:rFonts w:asciiTheme="majorHAnsi" w:eastAsiaTheme="majorEastAsia" w:hAnsiTheme="majorHAnsi" w:cstheme="majorBidi"/>
          <w:color w:val="365F91" w:themeColor="accent1" w:themeShade="BF"/>
          <w:sz w:val="26"/>
          <w:szCs w:val="26"/>
        </w:rPr>
      </w:pPr>
      <w:r w:rsidRPr="00714447">
        <w:rPr>
          <w:rFonts w:asciiTheme="majorHAnsi" w:eastAsiaTheme="majorEastAsia" w:hAnsiTheme="majorHAnsi" w:cstheme="majorBidi"/>
          <w:color w:val="365F91" w:themeColor="accent1" w:themeShade="BF"/>
          <w:sz w:val="26"/>
          <w:szCs w:val="26"/>
        </w:rPr>
        <w:t>The Post</w:t>
      </w:r>
    </w:p>
    <w:p w:rsidR="00F257D4" w:rsidRPr="0073001A" w:rsidRDefault="00F257D4" w:rsidP="00F257D4">
      <w:pPr>
        <w:pStyle w:val="BodyText2"/>
        <w:tabs>
          <w:tab w:val="left" w:pos="2380"/>
        </w:tabs>
        <w:rPr>
          <w:rFonts w:asciiTheme="minorHAnsi" w:hAnsiTheme="minorHAnsi" w:cs="Arial"/>
          <w:noProof w:val="0"/>
          <w:lang w:val="en-GB"/>
        </w:rPr>
      </w:pPr>
      <w:r w:rsidRPr="00F257D4">
        <w:rPr>
          <w:rFonts w:asciiTheme="minorHAnsi" w:hAnsiTheme="minorHAnsi" w:cs="Arial"/>
          <w:noProof w:val="0"/>
          <w:lang w:val="en-GB"/>
        </w:rPr>
        <w:t xml:space="preserve">We are looking for a well-qualified, enthusiastic and inspiring </w:t>
      </w:r>
      <w:r>
        <w:rPr>
          <w:rFonts w:asciiTheme="minorHAnsi" w:hAnsiTheme="minorHAnsi" w:cs="Arial"/>
          <w:noProof w:val="0"/>
          <w:lang w:val="en-GB"/>
        </w:rPr>
        <w:t xml:space="preserve">leader </w:t>
      </w:r>
      <w:r w:rsidRPr="00F257D4">
        <w:rPr>
          <w:rFonts w:asciiTheme="minorHAnsi" w:hAnsiTheme="minorHAnsi" w:cs="Arial"/>
          <w:noProof w:val="0"/>
          <w:lang w:val="en-GB"/>
        </w:rPr>
        <w:t>of Religious Studies.  The post</w:t>
      </w:r>
      <w:r>
        <w:rPr>
          <w:rFonts w:asciiTheme="minorHAnsi" w:hAnsiTheme="minorHAnsi" w:cs="Arial"/>
          <w:noProof w:val="0"/>
          <w:lang w:val="en-GB"/>
        </w:rPr>
        <w:t xml:space="preserve"> provides an excellent opportunity to provide leadership to a department, with a focus on pupil progress, teaching and learning strategies, curriculum design and staff development.  As the lead school of the Cranmer Education Trust and Northern Alliance, there is also the opportunity to provide leadership and development to Religious Studies across the Multi-Academy Trust and Teaching School Alliance.  </w:t>
      </w:r>
      <w:r w:rsidRPr="00F257D4">
        <w:rPr>
          <w:rFonts w:asciiTheme="minorHAnsi" w:hAnsiTheme="minorHAnsi" w:cs="Arial"/>
          <w:noProof w:val="0"/>
          <w:lang w:val="en-GB"/>
        </w:rPr>
        <w:t>Blue Coat is an outstanding and expanding 11-18 comprehensive and National Teaching School, committed to the professional development of all our staff.</w:t>
      </w:r>
      <w:r w:rsidRPr="0073001A">
        <w:rPr>
          <w:rFonts w:asciiTheme="minorHAnsi" w:hAnsiTheme="minorHAnsi" w:cs="Arial"/>
          <w:noProof w:val="0"/>
          <w:lang w:val="en-GB"/>
        </w:rPr>
        <w:t xml:space="preserve"> </w:t>
      </w:r>
    </w:p>
    <w:p w:rsidR="00F257D4" w:rsidRPr="00714447" w:rsidRDefault="00F257D4" w:rsidP="00F257D4">
      <w:pPr>
        <w:autoSpaceDE w:val="0"/>
        <w:autoSpaceDN w:val="0"/>
        <w:adjustRightInd w:val="0"/>
        <w:spacing w:after="0" w:line="240" w:lineRule="auto"/>
        <w:jc w:val="both"/>
        <w:rPr>
          <w:rFonts w:cs="Arial"/>
        </w:rPr>
      </w:pPr>
    </w:p>
    <w:p w:rsidR="00F257D4" w:rsidRDefault="00F257D4" w:rsidP="00F257D4">
      <w:pPr>
        <w:keepNext/>
        <w:keepLines/>
        <w:spacing w:before="40" w:after="0" w:line="240" w:lineRule="auto"/>
        <w:outlineLvl w:val="1"/>
        <w:rPr>
          <w:rFonts w:asciiTheme="majorHAnsi" w:eastAsiaTheme="majorEastAsia" w:hAnsiTheme="majorHAnsi" w:cstheme="majorBidi"/>
          <w:color w:val="365F91" w:themeColor="accent1" w:themeShade="BF"/>
          <w:sz w:val="26"/>
          <w:szCs w:val="26"/>
        </w:rPr>
      </w:pPr>
      <w:r w:rsidRPr="00307327">
        <w:rPr>
          <w:noProof/>
          <w:lang w:eastAsia="en-GB"/>
        </w:rPr>
        <mc:AlternateContent>
          <mc:Choice Requires="wps">
            <w:drawing>
              <wp:anchor distT="0" distB="0" distL="114300" distR="114300" simplePos="0" relativeHeight="251663360" behindDoc="0" locked="0" layoutInCell="1" allowOverlap="1" wp14:anchorId="6826FE4A" wp14:editId="3AF645DC">
                <wp:simplePos x="0" y="0"/>
                <wp:positionH relativeFrom="margin">
                  <wp:posOffset>3810</wp:posOffset>
                </wp:positionH>
                <wp:positionV relativeFrom="paragraph">
                  <wp:posOffset>50800</wp:posOffset>
                </wp:positionV>
                <wp:extent cx="6115050" cy="0"/>
                <wp:effectExtent l="0" t="19050" r="3810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F0B5" id="Line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8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d3GQIAADM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" strokeweight="4.5pt">
                <w10:wrap anchorx="margin"/>
              </v:line>
            </w:pict>
          </mc:Fallback>
        </mc:AlternateContent>
      </w:r>
    </w:p>
    <w:p w:rsidR="00A64241" w:rsidRDefault="00A64241" w:rsidP="00A64241">
      <w:pPr>
        <w:keepNext/>
        <w:keepLines/>
        <w:spacing w:before="40" w:line="240" w:lineRule="auto"/>
        <w:outlineLvl w:val="1"/>
        <w:rPr>
          <w:rFonts w:asciiTheme="majorHAnsi" w:eastAsiaTheme="majorEastAsia" w:hAnsiTheme="majorHAnsi" w:cstheme="majorBidi"/>
          <w:color w:val="365F91" w:themeColor="accent1" w:themeShade="BF"/>
          <w:sz w:val="26"/>
          <w:szCs w:val="26"/>
        </w:rPr>
      </w:pPr>
      <w:r w:rsidRPr="00714447">
        <w:rPr>
          <w:rFonts w:asciiTheme="majorHAnsi" w:eastAsiaTheme="majorEastAsia" w:hAnsiTheme="majorHAnsi" w:cstheme="majorBidi"/>
          <w:color w:val="365F91" w:themeColor="accent1" w:themeShade="BF"/>
          <w:sz w:val="26"/>
          <w:szCs w:val="26"/>
        </w:rPr>
        <w:t xml:space="preserve">The </w:t>
      </w:r>
      <w:r>
        <w:rPr>
          <w:rFonts w:asciiTheme="majorHAnsi" w:eastAsiaTheme="majorEastAsia" w:hAnsiTheme="majorHAnsi" w:cstheme="majorBidi"/>
          <w:color w:val="365F91" w:themeColor="accent1" w:themeShade="BF"/>
          <w:sz w:val="26"/>
          <w:szCs w:val="26"/>
        </w:rPr>
        <w:t>Department</w:t>
      </w:r>
    </w:p>
    <w:p w:rsidR="00503A20" w:rsidRPr="00503A20" w:rsidRDefault="00503A20" w:rsidP="00503A20">
      <w:pPr>
        <w:jc w:val="both"/>
        <w:rPr>
          <w:rFonts w:cs="Arial"/>
          <w:sz w:val="24"/>
          <w:szCs w:val="24"/>
          <w:lang w:eastAsia="en-GB"/>
        </w:rPr>
      </w:pPr>
      <w:r w:rsidRPr="00503A20">
        <w:rPr>
          <w:rFonts w:cs="Arial"/>
          <w:sz w:val="24"/>
          <w:szCs w:val="24"/>
          <w:lang w:eastAsia="en-GB"/>
        </w:rPr>
        <w:t xml:space="preserve">Religious Studies, which is part of the core curriculum, </w:t>
      </w:r>
      <w:r w:rsidRPr="005A17D9">
        <w:rPr>
          <w:rFonts w:cs="Arial"/>
          <w:sz w:val="24"/>
          <w:szCs w:val="24"/>
          <w:lang w:eastAsia="en-GB"/>
        </w:rPr>
        <w:t xml:space="preserve">is a department of </w:t>
      </w:r>
      <w:r w:rsidR="00662CA2">
        <w:rPr>
          <w:rFonts w:cs="Arial"/>
          <w:sz w:val="24"/>
          <w:szCs w:val="24"/>
          <w:lang w:eastAsia="en-GB"/>
        </w:rPr>
        <w:t>7</w:t>
      </w:r>
      <w:r w:rsidRPr="005A17D9">
        <w:rPr>
          <w:rFonts w:cs="Arial"/>
          <w:sz w:val="24"/>
          <w:szCs w:val="24"/>
          <w:lang w:eastAsia="en-GB"/>
        </w:rPr>
        <w:t xml:space="preserve"> specialists.</w:t>
      </w:r>
      <w:r w:rsidRPr="00503A20">
        <w:rPr>
          <w:rFonts w:cs="Arial"/>
          <w:sz w:val="24"/>
          <w:szCs w:val="24"/>
          <w:lang w:eastAsia="en-GB"/>
        </w:rPr>
        <w:t xml:space="preserve">  All students study GCSE, taking the </w:t>
      </w:r>
      <w:r w:rsidR="006D1125">
        <w:rPr>
          <w:rFonts w:cs="Arial"/>
          <w:sz w:val="24"/>
          <w:szCs w:val="24"/>
          <w:lang w:eastAsia="en-GB"/>
        </w:rPr>
        <w:t>AQA Specification A</w:t>
      </w:r>
      <w:r w:rsidR="00662CA2">
        <w:rPr>
          <w:rFonts w:cs="Arial"/>
          <w:sz w:val="24"/>
          <w:szCs w:val="24"/>
          <w:lang w:eastAsia="en-GB"/>
        </w:rPr>
        <w:t xml:space="preserve"> </w:t>
      </w:r>
      <w:r w:rsidR="00662CA2">
        <w:rPr>
          <w:rFonts w:ascii="Arial" w:hAnsi="Arial" w:cs="Arial"/>
        </w:rPr>
        <w:t>(8602)</w:t>
      </w:r>
      <w:r w:rsidR="006D1125">
        <w:rPr>
          <w:rFonts w:cs="Arial"/>
          <w:sz w:val="24"/>
          <w:szCs w:val="24"/>
          <w:lang w:eastAsia="en-GB"/>
        </w:rPr>
        <w:t xml:space="preserve">; students will study Christianity and Islam, along with 4 themes. </w:t>
      </w:r>
      <w:r w:rsidRPr="00503A20">
        <w:rPr>
          <w:rFonts w:cs="Arial"/>
          <w:sz w:val="24"/>
          <w:szCs w:val="24"/>
          <w:lang w:eastAsia="en-GB"/>
        </w:rPr>
        <w:t>The department has a record of high achievement (see below).</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9"/>
        <w:gridCol w:w="752"/>
        <w:gridCol w:w="753"/>
        <w:gridCol w:w="753"/>
        <w:gridCol w:w="753"/>
        <w:gridCol w:w="753"/>
        <w:gridCol w:w="753"/>
        <w:gridCol w:w="753"/>
        <w:gridCol w:w="753"/>
        <w:gridCol w:w="753"/>
        <w:gridCol w:w="753"/>
        <w:gridCol w:w="753"/>
        <w:gridCol w:w="753"/>
      </w:tblGrid>
      <w:tr w:rsidR="00177E67" w:rsidRPr="00177E67" w:rsidTr="0083682B">
        <w:tc>
          <w:tcPr>
            <w:tcW w:w="599" w:type="dxa"/>
            <w:vMerge w:val="restart"/>
            <w:shd w:val="clear" w:color="auto" w:fill="auto"/>
            <w:vAlign w:val="center"/>
          </w:tcPr>
          <w:p w:rsidR="0083682B" w:rsidRPr="00177E67" w:rsidRDefault="0083682B" w:rsidP="00A7572E">
            <w:pPr>
              <w:rPr>
                <w:rFonts w:cs="Arial"/>
                <w:b/>
                <w:sz w:val="16"/>
                <w:szCs w:val="16"/>
                <w:lang w:eastAsia="en-GB"/>
              </w:rPr>
            </w:pPr>
            <w:r w:rsidRPr="00177E67">
              <w:rPr>
                <w:rFonts w:cs="Arial"/>
                <w:b/>
                <w:sz w:val="16"/>
                <w:szCs w:val="16"/>
                <w:lang w:eastAsia="en-GB"/>
              </w:rPr>
              <w:t>GCSE</w:t>
            </w:r>
          </w:p>
        </w:tc>
        <w:tc>
          <w:tcPr>
            <w:tcW w:w="1505" w:type="dxa"/>
            <w:gridSpan w:val="2"/>
          </w:tcPr>
          <w:p w:rsidR="0083682B" w:rsidRPr="00177E67" w:rsidRDefault="0083682B" w:rsidP="0083682B">
            <w:pPr>
              <w:ind w:right="152"/>
              <w:jc w:val="center"/>
              <w:rPr>
                <w:rFonts w:cs="Arial"/>
                <w:b/>
                <w:sz w:val="16"/>
                <w:szCs w:val="16"/>
                <w:lang w:eastAsia="en-GB"/>
              </w:rPr>
            </w:pPr>
            <w:r w:rsidRPr="00177E67">
              <w:rPr>
                <w:rFonts w:cs="Arial"/>
                <w:b/>
                <w:sz w:val="16"/>
                <w:szCs w:val="16"/>
                <w:lang w:eastAsia="en-GB"/>
              </w:rPr>
              <w:t>2017</w:t>
            </w:r>
          </w:p>
        </w:tc>
        <w:tc>
          <w:tcPr>
            <w:tcW w:w="1506" w:type="dxa"/>
            <w:gridSpan w:val="2"/>
          </w:tcPr>
          <w:p w:rsidR="0083682B" w:rsidRPr="00177E67" w:rsidRDefault="0083682B" w:rsidP="0083682B">
            <w:pPr>
              <w:ind w:right="152"/>
              <w:jc w:val="center"/>
              <w:rPr>
                <w:rFonts w:cs="Arial"/>
                <w:b/>
                <w:sz w:val="16"/>
                <w:szCs w:val="16"/>
                <w:lang w:eastAsia="en-GB"/>
              </w:rPr>
            </w:pPr>
            <w:r w:rsidRPr="00177E67">
              <w:rPr>
                <w:rFonts w:cs="Arial"/>
                <w:b/>
                <w:sz w:val="16"/>
                <w:szCs w:val="16"/>
                <w:lang w:eastAsia="en-GB"/>
              </w:rPr>
              <w:t>2016</w:t>
            </w:r>
          </w:p>
        </w:tc>
        <w:tc>
          <w:tcPr>
            <w:tcW w:w="1506" w:type="dxa"/>
            <w:gridSpan w:val="2"/>
          </w:tcPr>
          <w:p w:rsidR="0083682B" w:rsidRPr="00177E67" w:rsidRDefault="0083682B" w:rsidP="0083682B">
            <w:pPr>
              <w:ind w:right="152"/>
              <w:jc w:val="center"/>
              <w:rPr>
                <w:rFonts w:cs="Arial"/>
                <w:b/>
                <w:sz w:val="16"/>
                <w:szCs w:val="16"/>
                <w:lang w:eastAsia="en-GB"/>
              </w:rPr>
            </w:pPr>
            <w:r w:rsidRPr="00177E67">
              <w:rPr>
                <w:rFonts w:cs="Arial"/>
                <w:b/>
                <w:sz w:val="16"/>
                <w:szCs w:val="16"/>
                <w:lang w:eastAsia="en-GB"/>
              </w:rPr>
              <w:t>2015</w:t>
            </w:r>
          </w:p>
        </w:tc>
        <w:tc>
          <w:tcPr>
            <w:tcW w:w="1506" w:type="dxa"/>
            <w:gridSpan w:val="2"/>
          </w:tcPr>
          <w:p w:rsidR="0083682B" w:rsidRPr="00177E67" w:rsidRDefault="0083682B" w:rsidP="0083682B">
            <w:pPr>
              <w:ind w:right="152"/>
              <w:jc w:val="center"/>
              <w:rPr>
                <w:rFonts w:cs="Arial"/>
                <w:b/>
                <w:sz w:val="16"/>
                <w:szCs w:val="16"/>
                <w:lang w:eastAsia="en-GB"/>
              </w:rPr>
            </w:pPr>
            <w:r w:rsidRPr="00177E67">
              <w:rPr>
                <w:rFonts w:cs="Arial"/>
                <w:b/>
                <w:sz w:val="16"/>
                <w:szCs w:val="16"/>
                <w:lang w:eastAsia="en-GB"/>
              </w:rPr>
              <w:t>2014</w:t>
            </w:r>
          </w:p>
        </w:tc>
        <w:tc>
          <w:tcPr>
            <w:tcW w:w="1506" w:type="dxa"/>
            <w:gridSpan w:val="2"/>
            <w:shd w:val="clear" w:color="auto" w:fill="auto"/>
          </w:tcPr>
          <w:p w:rsidR="0083682B" w:rsidRPr="00177E67" w:rsidRDefault="0083682B" w:rsidP="0083682B">
            <w:pPr>
              <w:ind w:right="152"/>
              <w:jc w:val="center"/>
              <w:rPr>
                <w:rFonts w:cs="Arial"/>
                <w:b/>
                <w:sz w:val="16"/>
                <w:szCs w:val="16"/>
                <w:lang w:eastAsia="en-GB"/>
              </w:rPr>
            </w:pPr>
            <w:r w:rsidRPr="00177E67">
              <w:rPr>
                <w:rFonts w:cs="Arial"/>
                <w:b/>
                <w:sz w:val="16"/>
                <w:szCs w:val="16"/>
                <w:lang w:eastAsia="en-GB"/>
              </w:rPr>
              <w:t>2013</w:t>
            </w:r>
          </w:p>
        </w:tc>
        <w:tc>
          <w:tcPr>
            <w:tcW w:w="1506" w:type="dxa"/>
            <w:gridSpan w:val="2"/>
            <w:shd w:val="clear" w:color="auto" w:fill="auto"/>
          </w:tcPr>
          <w:p w:rsidR="0083682B" w:rsidRPr="00177E67" w:rsidRDefault="0083682B" w:rsidP="0083682B">
            <w:pPr>
              <w:ind w:right="152"/>
              <w:jc w:val="center"/>
              <w:rPr>
                <w:rFonts w:cs="Arial"/>
                <w:b/>
                <w:sz w:val="16"/>
                <w:szCs w:val="16"/>
                <w:lang w:eastAsia="en-GB"/>
              </w:rPr>
            </w:pPr>
            <w:r w:rsidRPr="00177E67">
              <w:rPr>
                <w:rFonts w:cs="Arial"/>
                <w:b/>
                <w:sz w:val="16"/>
                <w:szCs w:val="16"/>
                <w:lang w:eastAsia="en-GB"/>
              </w:rPr>
              <w:t>2012</w:t>
            </w:r>
          </w:p>
        </w:tc>
      </w:tr>
      <w:tr w:rsidR="0083682B" w:rsidRPr="00177E67" w:rsidTr="00177E67">
        <w:tc>
          <w:tcPr>
            <w:tcW w:w="599" w:type="dxa"/>
            <w:vMerge/>
            <w:shd w:val="clear" w:color="auto" w:fill="auto"/>
          </w:tcPr>
          <w:p w:rsidR="0083682B" w:rsidRPr="00177E67" w:rsidRDefault="0083682B" w:rsidP="0083682B">
            <w:pPr>
              <w:jc w:val="both"/>
              <w:rPr>
                <w:rFonts w:cs="Arial"/>
                <w:b/>
                <w:sz w:val="16"/>
                <w:szCs w:val="16"/>
                <w:lang w:eastAsia="en-GB"/>
              </w:rPr>
            </w:pPr>
          </w:p>
        </w:tc>
        <w:tc>
          <w:tcPr>
            <w:tcW w:w="752" w:type="dxa"/>
          </w:tcPr>
          <w:p w:rsidR="0083682B" w:rsidRPr="00177E67" w:rsidRDefault="0083682B" w:rsidP="00177E67">
            <w:pPr>
              <w:jc w:val="center"/>
              <w:rPr>
                <w:rFonts w:cs="Arial"/>
                <w:sz w:val="16"/>
                <w:szCs w:val="16"/>
                <w:lang w:eastAsia="en-GB"/>
              </w:rPr>
            </w:pPr>
            <w:r w:rsidRPr="00177E67">
              <w:rPr>
                <w:rFonts w:cs="Arial"/>
                <w:sz w:val="16"/>
                <w:szCs w:val="16"/>
                <w:lang w:eastAsia="en-GB"/>
              </w:rPr>
              <w:t>Blue Coat</w:t>
            </w:r>
          </w:p>
        </w:tc>
        <w:tc>
          <w:tcPr>
            <w:tcW w:w="753" w:type="dxa"/>
          </w:tcPr>
          <w:p w:rsidR="0083682B" w:rsidRPr="00177E67" w:rsidRDefault="0083682B" w:rsidP="00177E67">
            <w:pPr>
              <w:jc w:val="center"/>
              <w:rPr>
                <w:rFonts w:cs="Arial"/>
                <w:sz w:val="15"/>
                <w:szCs w:val="15"/>
                <w:lang w:eastAsia="en-GB"/>
              </w:rPr>
            </w:pPr>
            <w:r w:rsidRPr="00177E67">
              <w:rPr>
                <w:rFonts w:cs="Arial"/>
                <w:sz w:val="15"/>
                <w:szCs w:val="15"/>
                <w:lang w:eastAsia="en-GB"/>
              </w:rPr>
              <w:t>National</w:t>
            </w:r>
          </w:p>
        </w:tc>
        <w:tc>
          <w:tcPr>
            <w:tcW w:w="753" w:type="dxa"/>
          </w:tcPr>
          <w:p w:rsidR="0083682B" w:rsidRPr="00177E67" w:rsidRDefault="0083682B" w:rsidP="00177E67">
            <w:pPr>
              <w:jc w:val="center"/>
              <w:rPr>
                <w:rFonts w:cs="Arial"/>
                <w:sz w:val="16"/>
                <w:szCs w:val="16"/>
                <w:lang w:eastAsia="en-GB"/>
              </w:rPr>
            </w:pPr>
            <w:r w:rsidRPr="00177E67">
              <w:rPr>
                <w:rFonts w:cs="Arial"/>
                <w:sz w:val="16"/>
                <w:szCs w:val="16"/>
                <w:lang w:eastAsia="en-GB"/>
              </w:rPr>
              <w:t>Blue Coat</w:t>
            </w:r>
          </w:p>
        </w:tc>
        <w:tc>
          <w:tcPr>
            <w:tcW w:w="753" w:type="dxa"/>
          </w:tcPr>
          <w:p w:rsidR="0083682B" w:rsidRPr="00177E67" w:rsidRDefault="0083682B" w:rsidP="00177E67">
            <w:pPr>
              <w:jc w:val="center"/>
              <w:rPr>
                <w:rFonts w:cs="Arial"/>
                <w:sz w:val="15"/>
                <w:szCs w:val="15"/>
                <w:lang w:eastAsia="en-GB"/>
              </w:rPr>
            </w:pPr>
            <w:r w:rsidRPr="00177E67">
              <w:rPr>
                <w:rFonts w:cs="Arial"/>
                <w:sz w:val="15"/>
                <w:szCs w:val="15"/>
                <w:lang w:eastAsia="en-GB"/>
              </w:rPr>
              <w:t>National</w:t>
            </w:r>
          </w:p>
        </w:tc>
        <w:tc>
          <w:tcPr>
            <w:tcW w:w="753" w:type="dxa"/>
          </w:tcPr>
          <w:p w:rsidR="0083682B" w:rsidRPr="00177E67" w:rsidRDefault="0083682B" w:rsidP="00177E67">
            <w:pPr>
              <w:jc w:val="center"/>
              <w:rPr>
                <w:rFonts w:cs="Arial"/>
                <w:sz w:val="16"/>
                <w:szCs w:val="16"/>
                <w:lang w:eastAsia="en-GB"/>
              </w:rPr>
            </w:pPr>
            <w:r w:rsidRPr="00177E67">
              <w:rPr>
                <w:rFonts w:cs="Arial"/>
                <w:sz w:val="16"/>
                <w:szCs w:val="16"/>
                <w:lang w:eastAsia="en-GB"/>
              </w:rPr>
              <w:t>Blue Coat</w:t>
            </w:r>
          </w:p>
        </w:tc>
        <w:tc>
          <w:tcPr>
            <w:tcW w:w="753" w:type="dxa"/>
          </w:tcPr>
          <w:p w:rsidR="0083682B" w:rsidRPr="00177E67" w:rsidRDefault="0083682B" w:rsidP="00177E67">
            <w:pPr>
              <w:jc w:val="center"/>
              <w:rPr>
                <w:rFonts w:cs="Arial"/>
                <w:sz w:val="15"/>
                <w:szCs w:val="15"/>
                <w:lang w:eastAsia="en-GB"/>
              </w:rPr>
            </w:pPr>
            <w:r w:rsidRPr="00177E67">
              <w:rPr>
                <w:rFonts w:cs="Arial"/>
                <w:sz w:val="15"/>
                <w:szCs w:val="15"/>
                <w:lang w:eastAsia="en-GB"/>
              </w:rPr>
              <w:t>National</w:t>
            </w:r>
          </w:p>
        </w:tc>
        <w:tc>
          <w:tcPr>
            <w:tcW w:w="753" w:type="dxa"/>
          </w:tcPr>
          <w:p w:rsidR="0083682B" w:rsidRPr="00177E67" w:rsidRDefault="0083682B" w:rsidP="00177E67">
            <w:pPr>
              <w:jc w:val="center"/>
              <w:rPr>
                <w:rFonts w:cs="Arial"/>
                <w:sz w:val="16"/>
                <w:szCs w:val="16"/>
                <w:lang w:eastAsia="en-GB"/>
              </w:rPr>
            </w:pPr>
            <w:r w:rsidRPr="00177E67">
              <w:rPr>
                <w:rFonts w:cs="Arial"/>
                <w:sz w:val="16"/>
                <w:szCs w:val="16"/>
                <w:lang w:eastAsia="en-GB"/>
              </w:rPr>
              <w:t>Blue Coat</w:t>
            </w:r>
          </w:p>
        </w:tc>
        <w:tc>
          <w:tcPr>
            <w:tcW w:w="753" w:type="dxa"/>
          </w:tcPr>
          <w:p w:rsidR="0083682B" w:rsidRPr="00177E67" w:rsidRDefault="0083682B" w:rsidP="00177E67">
            <w:pPr>
              <w:jc w:val="center"/>
              <w:rPr>
                <w:rFonts w:cs="Arial"/>
                <w:sz w:val="15"/>
                <w:szCs w:val="15"/>
                <w:lang w:eastAsia="en-GB"/>
              </w:rPr>
            </w:pPr>
            <w:r w:rsidRPr="00177E67">
              <w:rPr>
                <w:rFonts w:cs="Arial"/>
                <w:sz w:val="15"/>
                <w:szCs w:val="15"/>
                <w:lang w:eastAsia="en-GB"/>
              </w:rPr>
              <w:t>National</w:t>
            </w:r>
          </w:p>
        </w:tc>
        <w:tc>
          <w:tcPr>
            <w:tcW w:w="753" w:type="dxa"/>
            <w:shd w:val="clear" w:color="auto" w:fill="auto"/>
          </w:tcPr>
          <w:p w:rsidR="0083682B" w:rsidRPr="00177E67" w:rsidRDefault="0083682B" w:rsidP="00177E67">
            <w:pPr>
              <w:jc w:val="center"/>
              <w:rPr>
                <w:rFonts w:cs="Arial"/>
                <w:sz w:val="16"/>
                <w:szCs w:val="16"/>
                <w:lang w:eastAsia="en-GB"/>
              </w:rPr>
            </w:pPr>
            <w:r w:rsidRPr="00177E67">
              <w:rPr>
                <w:rFonts w:cs="Arial"/>
                <w:sz w:val="16"/>
                <w:szCs w:val="16"/>
                <w:lang w:eastAsia="en-GB"/>
              </w:rPr>
              <w:t>Blue Coat</w:t>
            </w:r>
          </w:p>
        </w:tc>
        <w:tc>
          <w:tcPr>
            <w:tcW w:w="753" w:type="dxa"/>
            <w:shd w:val="clear" w:color="auto" w:fill="auto"/>
          </w:tcPr>
          <w:p w:rsidR="0083682B" w:rsidRPr="00177E67" w:rsidRDefault="0083682B" w:rsidP="00177E67">
            <w:pPr>
              <w:jc w:val="center"/>
              <w:rPr>
                <w:rFonts w:cs="Arial"/>
                <w:sz w:val="15"/>
                <w:szCs w:val="15"/>
                <w:lang w:eastAsia="en-GB"/>
              </w:rPr>
            </w:pPr>
            <w:r w:rsidRPr="00177E67">
              <w:rPr>
                <w:rFonts w:cs="Arial"/>
                <w:sz w:val="15"/>
                <w:szCs w:val="15"/>
                <w:lang w:eastAsia="en-GB"/>
              </w:rPr>
              <w:t>National</w:t>
            </w:r>
          </w:p>
        </w:tc>
        <w:tc>
          <w:tcPr>
            <w:tcW w:w="753" w:type="dxa"/>
            <w:shd w:val="clear" w:color="auto" w:fill="auto"/>
          </w:tcPr>
          <w:p w:rsidR="0083682B" w:rsidRPr="00177E67" w:rsidRDefault="0083682B" w:rsidP="00177E67">
            <w:pPr>
              <w:jc w:val="center"/>
              <w:rPr>
                <w:rFonts w:cs="Arial"/>
                <w:sz w:val="16"/>
                <w:szCs w:val="16"/>
                <w:lang w:eastAsia="en-GB"/>
              </w:rPr>
            </w:pPr>
            <w:r w:rsidRPr="00177E67">
              <w:rPr>
                <w:rFonts w:cs="Arial"/>
                <w:sz w:val="16"/>
                <w:szCs w:val="16"/>
                <w:lang w:eastAsia="en-GB"/>
              </w:rPr>
              <w:t>Blue Coat</w:t>
            </w:r>
          </w:p>
        </w:tc>
        <w:tc>
          <w:tcPr>
            <w:tcW w:w="753" w:type="dxa"/>
            <w:shd w:val="clear" w:color="auto" w:fill="auto"/>
          </w:tcPr>
          <w:p w:rsidR="0083682B" w:rsidRPr="00177E67" w:rsidRDefault="0083682B" w:rsidP="00177E67">
            <w:pPr>
              <w:jc w:val="center"/>
              <w:rPr>
                <w:rFonts w:cs="Arial"/>
                <w:sz w:val="15"/>
                <w:szCs w:val="15"/>
                <w:lang w:eastAsia="en-GB"/>
              </w:rPr>
            </w:pPr>
            <w:r w:rsidRPr="00177E67">
              <w:rPr>
                <w:rFonts w:cs="Arial"/>
                <w:sz w:val="15"/>
                <w:szCs w:val="15"/>
                <w:lang w:eastAsia="en-GB"/>
              </w:rPr>
              <w:t>National</w:t>
            </w:r>
          </w:p>
        </w:tc>
      </w:tr>
      <w:tr w:rsidR="0083682B" w:rsidRPr="00177E67" w:rsidTr="00177E67">
        <w:trPr>
          <w:trHeight w:val="340"/>
        </w:trPr>
        <w:tc>
          <w:tcPr>
            <w:tcW w:w="599" w:type="dxa"/>
            <w:shd w:val="clear" w:color="auto" w:fill="auto"/>
            <w:vAlign w:val="center"/>
          </w:tcPr>
          <w:p w:rsidR="0083682B" w:rsidRPr="00177E67" w:rsidRDefault="0083682B" w:rsidP="00177E67">
            <w:pPr>
              <w:rPr>
                <w:rFonts w:cs="Arial"/>
                <w:sz w:val="16"/>
                <w:szCs w:val="16"/>
                <w:lang w:eastAsia="en-GB"/>
              </w:rPr>
            </w:pPr>
            <w:r w:rsidRPr="00177E67">
              <w:rPr>
                <w:rFonts w:cs="Arial"/>
                <w:sz w:val="16"/>
                <w:szCs w:val="16"/>
                <w:lang w:eastAsia="en-GB"/>
              </w:rPr>
              <w:t>A* -A</w:t>
            </w:r>
          </w:p>
        </w:tc>
        <w:tc>
          <w:tcPr>
            <w:tcW w:w="752" w:type="dxa"/>
          </w:tcPr>
          <w:p w:rsidR="0083682B" w:rsidRPr="00177E67" w:rsidRDefault="00177E67" w:rsidP="00A7572E">
            <w:pPr>
              <w:jc w:val="center"/>
              <w:rPr>
                <w:rFonts w:cs="Arial"/>
                <w:sz w:val="16"/>
                <w:szCs w:val="16"/>
                <w:lang w:eastAsia="en-GB"/>
              </w:rPr>
            </w:pPr>
            <w:r w:rsidRPr="00177E67">
              <w:rPr>
                <w:rFonts w:cs="Arial"/>
                <w:sz w:val="16"/>
                <w:szCs w:val="16"/>
                <w:lang w:eastAsia="en-GB"/>
              </w:rPr>
              <w:t>65%</w:t>
            </w:r>
          </w:p>
        </w:tc>
        <w:tc>
          <w:tcPr>
            <w:tcW w:w="753" w:type="dxa"/>
          </w:tcPr>
          <w:p w:rsidR="0083682B" w:rsidRPr="00177E67" w:rsidRDefault="00177E67" w:rsidP="00A7572E">
            <w:pPr>
              <w:jc w:val="center"/>
              <w:rPr>
                <w:rFonts w:cs="Arial"/>
                <w:sz w:val="16"/>
                <w:szCs w:val="16"/>
                <w:lang w:eastAsia="en-GB"/>
              </w:rPr>
            </w:pPr>
            <w:r w:rsidRPr="00177E67">
              <w:rPr>
                <w:rFonts w:cs="Arial"/>
                <w:sz w:val="16"/>
                <w:szCs w:val="16"/>
                <w:lang w:eastAsia="en-GB"/>
              </w:rPr>
              <w:t>30%</w:t>
            </w:r>
          </w:p>
        </w:tc>
        <w:tc>
          <w:tcPr>
            <w:tcW w:w="753" w:type="dxa"/>
          </w:tcPr>
          <w:p w:rsidR="0083682B" w:rsidRPr="00177E67" w:rsidRDefault="0083682B" w:rsidP="00A7572E">
            <w:pPr>
              <w:jc w:val="center"/>
              <w:rPr>
                <w:rFonts w:cs="Arial"/>
                <w:sz w:val="16"/>
                <w:szCs w:val="16"/>
                <w:lang w:eastAsia="en-GB"/>
              </w:rPr>
            </w:pPr>
            <w:r w:rsidRPr="00177E67">
              <w:rPr>
                <w:rFonts w:cs="Arial"/>
                <w:sz w:val="16"/>
                <w:szCs w:val="16"/>
                <w:lang w:eastAsia="en-GB"/>
              </w:rPr>
              <w:t>69%</w:t>
            </w:r>
          </w:p>
        </w:tc>
        <w:tc>
          <w:tcPr>
            <w:tcW w:w="753" w:type="dxa"/>
          </w:tcPr>
          <w:p w:rsidR="0083682B" w:rsidRPr="00177E67" w:rsidRDefault="0083682B" w:rsidP="00A7572E">
            <w:pPr>
              <w:jc w:val="center"/>
              <w:rPr>
                <w:rFonts w:cs="Arial"/>
                <w:sz w:val="16"/>
                <w:szCs w:val="16"/>
                <w:lang w:eastAsia="en-GB"/>
              </w:rPr>
            </w:pPr>
            <w:r w:rsidRPr="00177E67">
              <w:rPr>
                <w:rFonts w:cs="Arial"/>
                <w:sz w:val="16"/>
                <w:szCs w:val="16"/>
                <w:lang w:eastAsia="en-GB"/>
              </w:rPr>
              <w:t>30%</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46%</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29%</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56%</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30%</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47%</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29%</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42%</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29%</w:t>
            </w:r>
          </w:p>
        </w:tc>
      </w:tr>
      <w:tr w:rsidR="0083682B" w:rsidRPr="00177E67" w:rsidTr="00177E67">
        <w:trPr>
          <w:trHeight w:val="340"/>
        </w:trPr>
        <w:tc>
          <w:tcPr>
            <w:tcW w:w="599"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A* - C</w:t>
            </w:r>
          </w:p>
        </w:tc>
        <w:tc>
          <w:tcPr>
            <w:tcW w:w="752" w:type="dxa"/>
          </w:tcPr>
          <w:p w:rsidR="0083682B" w:rsidRPr="00177E67" w:rsidRDefault="00177E67" w:rsidP="00A7572E">
            <w:pPr>
              <w:jc w:val="center"/>
              <w:rPr>
                <w:rFonts w:cs="Arial"/>
                <w:sz w:val="16"/>
                <w:szCs w:val="16"/>
                <w:lang w:eastAsia="en-GB"/>
              </w:rPr>
            </w:pPr>
            <w:r w:rsidRPr="00177E67">
              <w:rPr>
                <w:rFonts w:cs="Arial"/>
                <w:sz w:val="16"/>
                <w:szCs w:val="16"/>
                <w:lang w:eastAsia="en-GB"/>
              </w:rPr>
              <w:t>88%</w:t>
            </w:r>
          </w:p>
        </w:tc>
        <w:tc>
          <w:tcPr>
            <w:tcW w:w="753" w:type="dxa"/>
          </w:tcPr>
          <w:p w:rsidR="0083682B" w:rsidRPr="00177E67" w:rsidRDefault="00177E67" w:rsidP="00A7572E">
            <w:pPr>
              <w:jc w:val="center"/>
              <w:rPr>
                <w:rFonts w:cs="Arial"/>
                <w:sz w:val="16"/>
                <w:szCs w:val="16"/>
                <w:lang w:eastAsia="en-GB"/>
              </w:rPr>
            </w:pPr>
            <w:r w:rsidRPr="00177E67">
              <w:rPr>
                <w:rFonts w:cs="Arial"/>
                <w:sz w:val="16"/>
                <w:szCs w:val="16"/>
                <w:lang w:eastAsia="en-GB"/>
              </w:rPr>
              <w:t>72%</w:t>
            </w:r>
          </w:p>
        </w:tc>
        <w:tc>
          <w:tcPr>
            <w:tcW w:w="753" w:type="dxa"/>
          </w:tcPr>
          <w:p w:rsidR="0083682B" w:rsidRPr="00177E67" w:rsidRDefault="0083682B" w:rsidP="00A7572E">
            <w:pPr>
              <w:jc w:val="center"/>
              <w:rPr>
                <w:rFonts w:cs="Arial"/>
                <w:sz w:val="16"/>
                <w:szCs w:val="16"/>
                <w:lang w:eastAsia="en-GB"/>
              </w:rPr>
            </w:pPr>
            <w:r w:rsidRPr="00177E67">
              <w:rPr>
                <w:rFonts w:cs="Arial"/>
                <w:sz w:val="16"/>
                <w:szCs w:val="16"/>
                <w:lang w:eastAsia="en-GB"/>
              </w:rPr>
              <w:t>90%</w:t>
            </w:r>
          </w:p>
        </w:tc>
        <w:tc>
          <w:tcPr>
            <w:tcW w:w="753" w:type="dxa"/>
          </w:tcPr>
          <w:p w:rsidR="0083682B" w:rsidRPr="00177E67" w:rsidRDefault="0083682B" w:rsidP="00A7572E">
            <w:pPr>
              <w:jc w:val="center"/>
              <w:rPr>
                <w:rFonts w:cs="Arial"/>
                <w:sz w:val="16"/>
                <w:szCs w:val="16"/>
                <w:lang w:eastAsia="en-GB"/>
              </w:rPr>
            </w:pPr>
            <w:r w:rsidRPr="00177E67">
              <w:rPr>
                <w:rFonts w:cs="Arial"/>
                <w:sz w:val="16"/>
                <w:szCs w:val="16"/>
                <w:lang w:eastAsia="en-GB"/>
              </w:rPr>
              <w:t>72%</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92%</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72%</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89%</w:t>
            </w:r>
          </w:p>
        </w:tc>
        <w:tc>
          <w:tcPr>
            <w:tcW w:w="753" w:type="dxa"/>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71%</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86%</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72%</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85%</w:t>
            </w:r>
          </w:p>
        </w:tc>
        <w:tc>
          <w:tcPr>
            <w:tcW w:w="753" w:type="dxa"/>
            <w:shd w:val="clear" w:color="auto" w:fill="auto"/>
            <w:vAlign w:val="center"/>
          </w:tcPr>
          <w:p w:rsidR="0083682B" w:rsidRPr="00177E67" w:rsidRDefault="0083682B" w:rsidP="00A7572E">
            <w:pPr>
              <w:jc w:val="center"/>
              <w:rPr>
                <w:rFonts w:cs="Arial"/>
                <w:sz w:val="16"/>
                <w:szCs w:val="16"/>
                <w:lang w:eastAsia="en-GB"/>
              </w:rPr>
            </w:pPr>
            <w:r w:rsidRPr="00177E67">
              <w:rPr>
                <w:rFonts w:cs="Arial"/>
                <w:sz w:val="16"/>
                <w:szCs w:val="16"/>
                <w:lang w:eastAsia="en-GB"/>
              </w:rPr>
              <w:t>72%</w:t>
            </w:r>
          </w:p>
        </w:tc>
      </w:tr>
    </w:tbl>
    <w:p w:rsidR="00503A20" w:rsidRPr="00503A20" w:rsidRDefault="00503A20" w:rsidP="00503A20">
      <w:pPr>
        <w:jc w:val="both"/>
        <w:rPr>
          <w:rFonts w:cs="Arial"/>
          <w:sz w:val="24"/>
          <w:szCs w:val="24"/>
          <w:lang w:eastAsia="en-GB"/>
        </w:rPr>
      </w:pPr>
    </w:p>
    <w:p w:rsidR="00503A20" w:rsidRPr="00503A20" w:rsidRDefault="00503A20" w:rsidP="00503A20">
      <w:pPr>
        <w:jc w:val="both"/>
        <w:rPr>
          <w:rFonts w:cs="Arial"/>
          <w:sz w:val="24"/>
          <w:szCs w:val="24"/>
          <w:lang w:eastAsia="en-GB"/>
        </w:rPr>
      </w:pPr>
      <w:r w:rsidRPr="00503A20">
        <w:rPr>
          <w:rFonts w:cs="Arial"/>
          <w:sz w:val="24"/>
          <w:szCs w:val="24"/>
          <w:lang w:eastAsia="en-GB"/>
        </w:rPr>
        <w:t xml:space="preserve">Numbers at A-level are good, we currently have 65 students studying RS at Key Stage 5; but there is still potential here to grow.  </w:t>
      </w:r>
      <w:r w:rsidR="0032511F">
        <w:rPr>
          <w:rFonts w:cs="Arial"/>
          <w:sz w:val="24"/>
          <w:szCs w:val="24"/>
          <w:lang w:eastAsia="en-GB"/>
        </w:rPr>
        <w:t>Students study Christianity, Philosophy and Ethics (Eduqas)</w:t>
      </w:r>
      <w:r w:rsidRPr="00503A20">
        <w:rPr>
          <w:rFonts w:cs="Arial"/>
          <w:sz w:val="24"/>
          <w:szCs w:val="24"/>
          <w:lang w:eastAsia="en-GB"/>
        </w:rPr>
        <w:t>.  As a Church of England school, we see it as part of our responsibility to grow the RS and Theology graduates and teachers of the future.</w:t>
      </w:r>
    </w:p>
    <w:p w:rsidR="00503A20" w:rsidRPr="00503A20" w:rsidRDefault="00503A20" w:rsidP="00503A20">
      <w:pPr>
        <w:pStyle w:val="NormalWeb"/>
        <w:jc w:val="both"/>
        <w:rPr>
          <w:rFonts w:asciiTheme="minorHAnsi" w:hAnsiTheme="minorHAnsi" w:cs="Arial"/>
          <w:color w:val="000000"/>
        </w:rPr>
      </w:pPr>
      <w:r w:rsidRPr="00503A20">
        <w:rPr>
          <w:rFonts w:asciiTheme="minorHAnsi" w:hAnsiTheme="minorHAnsi" w:cs="Arial"/>
          <w:color w:val="000000"/>
        </w:rPr>
        <w:t xml:space="preserve">We follow the Diocesan guidelines for Religious Studies. Our aim is to affirm, encourage, and challenge students on their own spiritual journey. Our lessons are grounded in Christianity, and students also learn about the major world faiths and consider similarities and differences. The Key Stage 3 curriculum is centred on ‘big questions’. Such as ‘Did God create the World?’, ‘Where was God in the Holocaust?’, and ‘What’s it like to be a Muslim?’ </w:t>
      </w:r>
    </w:p>
    <w:p w:rsidR="00503A20" w:rsidRPr="00503A20" w:rsidRDefault="00503A20" w:rsidP="00503A20">
      <w:pPr>
        <w:pStyle w:val="NormalWeb"/>
        <w:jc w:val="both"/>
        <w:rPr>
          <w:rFonts w:asciiTheme="minorHAnsi" w:hAnsiTheme="minorHAnsi" w:cs="Arial"/>
          <w:color w:val="000000"/>
        </w:rPr>
      </w:pPr>
      <w:r w:rsidRPr="00503A20">
        <w:rPr>
          <w:rFonts w:asciiTheme="minorHAnsi" w:hAnsiTheme="minorHAnsi" w:cs="Arial"/>
          <w:color w:val="000000"/>
        </w:rPr>
        <w:t xml:space="preserve">Students study major religious festivals and learn about the lives of people who, through their faith, have made a </w:t>
      </w:r>
      <w:r w:rsidR="006D1125">
        <w:rPr>
          <w:rFonts w:asciiTheme="minorHAnsi" w:hAnsiTheme="minorHAnsi" w:cs="Arial"/>
          <w:color w:val="000000"/>
        </w:rPr>
        <w:t>positive impact on society</w:t>
      </w:r>
      <w:r w:rsidRPr="00503A20">
        <w:rPr>
          <w:rFonts w:asciiTheme="minorHAnsi" w:hAnsiTheme="minorHAnsi" w:cs="Arial"/>
          <w:color w:val="000000"/>
        </w:rPr>
        <w:t>.</w:t>
      </w:r>
      <w:r w:rsidR="006D1125">
        <w:rPr>
          <w:rFonts w:asciiTheme="minorHAnsi" w:hAnsiTheme="minorHAnsi" w:cs="Arial"/>
          <w:color w:val="000000"/>
        </w:rPr>
        <w:t xml:space="preserve"> Students have the opportunity to participate in educational visits to places of worship, and to learn from visitors within the classroom. </w:t>
      </w:r>
      <w:r w:rsidRPr="00503A20">
        <w:rPr>
          <w:rFonts w:asciiTheme="minorHAnsi" w:hAnsiTheme="minorHAnsi" w:cs="Arial"/>
          <w:color w:val="000000"/>
        </w:rPr>
        <w:t>Religious Studies provokes challenging questions about the meaning and purpose of life, and beliefs about God, and students are encouraged to be inquisitive and consider these big questions.</w:t>
      </w:r>
    </w:p>
    <w:p w:rsidR="00503A20" w:rsidRPr="00503A20" w:rsidRDefault="00503A20" w:rsidP="00503A20">
      <w:pPr>
        <w:jc w:val="both"/>
        <w:rPr>
          <w:rFonts w:cs="Arial"/>
          <w:sz w:val="24"/>
          <w:szCs w:val="24"/>
          <w:lang w:eastAsia="en-GB"/>
        </w:rPr>
      </w:pPr>
      <w:r w:rsidRPr="00503A20">
        <w:rPr>
          <w:rFonts w:cs="Arial"/>
          <w:sz w:val="24"/>
          <w:szCs w:val="24"/>
          <w:lang w:eastAsia="en-GB"/>
        </w:rPr>
        <w:t xml:space="preserve">Key Stage 3 pupils are assessed using level criteria written by the department which ensure challenge, and preparation for GCSE examination requirements. Students’ literacy is also assessed </w:t>
      </w:r>
      <w:r w:rsidRPr="00503A20">
        <w:rPr>
          <w:rFonts w:cs="Arial"/>
          <w:sz w:val="24"/>
          <w:szCs w:val="24"/>
          <w:lang w:eastAsia="en-GB"/>
        </w:rPr>
        <w:lastRenderedPageBreak/>
        <w:t>through ‘Power Writes’. This is the application of learning to an extended piece of writing considering the use of key literary techniques as well as RS knowledge and skills.</w:t>
      </w:r>
    </w:p>
    <w:p w:rsidR="00503A20" w:rsidRPr="00503A20" w:rsidRDefault="00503A20" w:rsidP="00503A20">
      <w:pPr>
        <w:jc w:val="both"/>
        <w:rPr>
          <w:rFonts w:cs="Arial"/>
          <w:sz w:val="24"/>
          <w:szCs w:val="24"/>
          <w:lang w:eastAsia="en-GB"/>
        </w:rPr>
      </w:pPr>
      <w:r w:rsidRPr="00503A20">
        <w:rPr>
          <w:rFonts w:cs="Arial"/>
          <w:sz w:val="24"/>
          <w:szCs w:val="24"/>
          <w:lang w:eastAsia="en-GB"/>
        </w:rPr>
        <w:t>SIA</w:t>
      </w:r>
      <w:r w:rsidR="006D1125">
        <w:rPr>
          <w:rFonts w:cs="Arial"/>
          <w:sz w:val="24"/>
          <w:szCs w:val="24"/>
          <w:lang w:eastAsia="en-GB"/>
        </w:rPr>
        <w:t>M</w:t>
      </w:r>
      <w:r w:rsidRPr="00503A20">
        <w:rPr>
          <w:rFonts w:cs="Arial"/>
          <w:sz w:val="24"/>
          <w:szCs w:val="24"/>
          <w:lang w:eastAsia="en-GB"/>
        </w:rPr>
        <w:t xml:space="preserve">S inspections in December </w:t>
      </w:r>
      <w:r w:rsidR="0032511F">
        <w:rPr>
          <w:rFonts w:cs="Arial"/>
          <w:sz w:val="24"/>
          <w:szCs w:val="24"/>
          <w:lang w:eastAsia="en-GB"/>
        </w:rPr>
        <w:t xml:space="preserve">2016, December </w:t>
      </w:r>
      <w:r w:rsidRPr="00503A20">
        <w:rPr>
          <w:rFonts w:cs="Arial"/>
          <w:sz w:val="24"/>
          <w:szCs w:val="24"/>
          <w:lang w:eastAsia="en-GB"/>
        </w:rPr>
        <w:t xml:space="preserve">2011 and February 2008 judged the effectiveness </w:t>
      </w:r>
      <w:r w:rsidR="00FD480F">
        <w:rPr>
          <w:rFonts w:cs="Arial"/>
          <w:sz w:val="24"/>
          <w:szCs w:val="24"/>
          <w:lang w:eastAsia="en-GB"/>
        </w:rPr>
        <w:t xml:space="preserve">and leadership </w:t>
      </w:r>
      <w:r w:rsidRPr="00503A20">
        <w:rPr>
          <w:rFonts w:cs="Arial"/>
          <w:sz w:val="24"/>
          <w:szCs w:val="24"/>
          <w:lang w:eastAsia="en-GB"/>
        </w:rPr>
        <w:t xml:space="preserve">of Religious Studies to be outstanding. The department was also awarded the RE Quality Mark Gold Award in 2015. </w:t>
      </w:r>
    </w:p>
    <w:p w:rsidR="00503A20" w:rsidRPr="00503A20" w:rsidRDefault="00503A20" w:rsidP="00503A20">
      <w:pPr>
        <w:jc w:val="both"/>
        <w:rPr>
          <w:rFonts w:cs="Arial"/>
          <w:sz w:val="24"/>
          <w:szCs w:val="24"/>
          <w:lang w:eastAsia="en-GB"/>
        </w:rPr>
      </w:pPr>
      <w:r w:rsidRPr="00503A20">
        <w:rPr>
          <w:rFonts w:cs="Arial"/>
          <w:sz w:val="24"/>
          <w:szCs w:val="24"/>
          <w:lang w:eastAsia="en-GB"/>
        </w:rPr>
        <w:t>The school has a (lay) chaplain who leads on worship and spirituality; teachers of RS are in a position to contribute powerfully to the development of the school’s strong Christian ethos, and to how well we welcome and respect members of other faiths in our school and wider community.</w:t>
      </w:r>
    </w:p>
    <w:p w:rsidR="00503A20" w:rsidRPr="00503A20" w:rsidRDefault="00503A20" w:rsidP="00503A20">
      <w:pPr>
        <w:jc w:val="both"/>
        <w:rPr>
          <w:rFonts w:cs="Arial"/>
          <w:sz w:val="24"/>
          <w:szCs w:val="24"/>
          <w:lang w:eastAsia="en-GB"/>
        </w:rPr>
      </w:pPr>
      <w:r w:rsidRPr="00503A20">
        <w:rPr>
          <w:rFonts w:cs="Arial"/>
          <w:sz w:val="24"/>
          <w:szCs w:val="24"/>
          <w:lang w:eastAsia="en-GB"/>
        </w:rPr>
        <w:t xml:space="preserve">The </w:t>
      </w:r>
      <w:r w:rsidR="0032511F">
        <w:rPr>
          <w:rFonts w:cs="Arial"/>
          <w:sz w:val="24"/>
          <w:szCs w:val="24"/>
          <w:lang w:eastAsia="en-GB"/>
        </w:rPr>
        <w:t>department has a suite of classrooms</w:t>
      </w:r>
      <w:r w:rsidRPr="00503A20">
        <w:rPr>
          <w:rFonts w:cs="Arial"/>
          <w:sz w:val="24"/>
          <w:szCs w:val="24"/>
          <w:lang w:eastAsia="en-GB"/>
        </w:rPr>
        <w:t xml:space="preserve"> where all teachers </w:t>
      </w:r>
      <w:r w:rsidR="0032511F">
        <w:rPr>
          <w:rFonts w:cs="Arial"/>
          <w:sz w:val="24"/>
          <w:szCs w:val="24"/>
          <w:lang w:eastAsia="en-GB"/>
        </w:rPr>
        <w:t>can collaborate</w:t>
      </w:r>
      <w:r w:rsidRPr="00503A20">
        <w:rPr>
          <w:rFonts w:cs="Arial"/>
          <w:sz w:val="24"/>
          <w:szCs w:val="24"/>
          <w:lang w:eastAsia="en-GB"/>
        </w:rPr>
        <w:t xml:space="preserve"> and there is shared office space for the department.  The department is resourced to a high standard, each classroom is equipped with an interactive ProWise board</w:t>
      </w:r>
      <w:r w:rsidR="006D1125">
        <w:rPr>
          <w:rFonts w:cs="Arial"/>
          <w:sz w:val="24"/>
          <w:szCs w:val="24"/>
          <w:lang w:eastAsia="en-GB"/>
        </w:rPr>
        <w:t>, and there is a class set of tablets which can be used to enhance learning</w:t>
      </w:r>
      <w:r w:rsidRPr="00503A20">
        <w:rPr>
          <w:rFonts w:cs="Arial"/>
          <w:sz w:val="24"/>
          <w:szCs w:val="24"/>
          <w:lang w:eastAsia="en-GB"/>
        </w:rPr>
        <w:t>.  There is a wide collection of extension reading material and artefacts for each of the major world religions.  Schemes of work for all Key Stages are up to date and detailed, providing lesson-by-lesson guidance for the whole department including a variety of assessment and challenge opportunities.  Teaching and learning in the department is creative and engaging; there are resources available which are used to aid this level of creativity in lessons. The RS team work together to share the planning of lessons, and ideas for outstanding lessons.</w:t>
      </w:r>
    </w:p>
    <w:p w:rsidR="00714447" w:rsidRDefault="00714447" w:rsidP="00F93D21">
      <w:pPr>
        <w:autoSpaceDE w:val="0"/>
        <w:autoSpaceDN w:val="0"/>
        <w:adjustRightInd w:val="0"/>
        <w:spacing w:after="0" w:line="240" w:lineRule="auto"/>
        <w:rPr>
          <w:rFonts w:ascii="Arial" w:hAnsi="Arial" w:cs="Arial"/>
          <w:sz w:val="24"/>
          <w:szCs w:val="24"/>
        </w:rPr>
      </w:pPr>
    </w:p>
    <w:p w:rsidR="0073001A" w:rsidRPr="0073001A" w:rsidRDefault="0073001A" w:rsidP="0073001A">
      <w:pPr>
        <w:autoSpaceDE w:val="0"/>
        <w:autoSpaceDN w:val="0"/>
        <w:adjustRightInd w:val="0"/>
        <w:spacing w:after="0" w:line="240" w:lineRule="auto"/>
        <w:rPr>
          <w:rFonts w:ascii="Arial" w:hAnsi="Arial" w:cs="Arial"/>
          <w:sz w:val="24"/>
          <w:szCs w:val="24"/>
        </w:rPr>
      </w:pPr>
    </w:p>
    <w:sectPr w:rsidR="0073001A" w:rsidRPr="0073001A" w:rsidSect="000849B4">
      <w:footerReference w:type="default" r:id="rId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415" w:rsidRDefault="00300415" w:rsidP="0092148A">
      <w:pPr>
        <w:spacing w:after="0" w:line="240" w:lineRule="auto"/>
      </w:pPr>
      <w:r>
        <w:separator/>
      </w:r>
    </w:p>
  </w:endnote>
  <w:endnote w:type="continuationSeparator" w:id="0">
    <w:p w:rsidR="00300415" w:rsidRDefault="00300415" w:rsidP="0092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B4" w:rsidRDefault="000849B4" w:rsidP="000849B4">
    <w:pPr>
      <w:pStyle w:val="Footer"/>
      <w:jc w:val="center"/>
      <w:rPr>
        <w:sz w:val="16"/>
        <w:szCs w:val="16"/>
      </w:rPr>
    </w:pPr>
    <w:r w:rsidRPr="009C0014">
      <w:rPr>
        <w:sz w:val="16"/>
        <w:szCs w:val="16"/>
      </w:rPr>
      <w:t xml:space="preserve">The Blue Coat School is part of the Cranmer Education Trust which is a charitable company limited by guarantee registered in England and Wales </w:t>
    </w:r>
  </w:p>
  <w:p w:rsidR="000849B4" w:rsidRPr="009C0014" w:rsidRDefault="000849B4" w:rsidP="000849B4">
    <w:pPr>
      <w:pStyle w:val="Footer"/>
      <w:jc w:val="center"/>
      <w:rPr>
        <w:sz w:val="16"/>
        <w:szCs w:val="16"/>
      </w:rPr>
    </w:pPr>
    <w:r w:rsidRPr="009C0014">
      <w:rPr>
        <w:sz w:val="16"/>
        <w:szCs w:val="16"/>
      </w:rPr>
      <w:t>(registered no. 07687709, VAT 118109926). Registered office: The Blue Coat School, Egerton Street, Oldham, OL1 3SQ</w:t>
    </w:r>
  </w:p>
  <w:p w:rsidR="000849B4" w:rsidRPr="0071013E" w:rsidRDefault="0071013E">
    <w:pPr>
      <w:pStyle w:val="Footer"/>
      <w:rPr>
        <w:sz w:val="16"/>
        <w:szCs w:val="16"/>
      </w:rPr>
    </w:pPr>
    <w:r w:rsidRPr="0071013E">
      <w:rPr>
        <w:sz w:val="16"/>
        <w:szCs w:val="16"/>
      </w:rPr>
      <w:t>4.1.2018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415" w:rsidRDefault="00300415" w:rsidP="0092148A">
      <w:pPr>
        <w:spacing w:after="0" w:line="240" w:lineRule="auto"/>
      </w:pPr>
      <w:r>
        <w:separator/>
      </w:r>
    </w:p>
  </w:footnote>
  <w:footnote w:type="continuationSeparator" w:id="0">
    <w:p w:rsidR="00300415" w:rsidRDefault="00300415" w:rsidP="00921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21"/>
    <w:rsid w:val="00064962"/>
    <w:rsid w:val="000849B4"/>
    <w:rsid w:val="000E5040"/>
    <w:rsid w:val="00122581"/>
    <w:rsid w:val="00177E67"/>
    <w:rsid w:val="001C219D"/>
    <w:rsid w:val="001F614D"/>
    <w:rsid w:val="00201183"/>
    <w:rsid w:val="00221896"/>
    <w:rsid w:val="00241ECF"/>
    <w:rsid w:val="0025781E"/>
    <w:rsid w:val="00295BC5"/>
    <w:rsid w:val="002D4199"/>
    <w:rsid w:val="00300415"/>
    <w:rsid w:val="0032511F"/>
    <w:rsid w:val="00355735"/>
    <w:rsid w:val="003E4332"/>
    <w:rsid w:val="004570B9"/>
    <w:rsid w:val="004807E6"/>
    <w:rsid w:val="004814B1"/>
    <w:rsid w:val="004D2698"/>
    <w:rsid w:val="00503A20"/>
    <w:rsid w:val="00535E96"/>
    <w:rsid w:val="005556B9"/>
    <w:rsid w:val="005A17D9"/>
    <w:rsid w:val="005E2993"/>
    <w:rsid w:val="006028AE"/>
    <w:rsid w:val="006344C8"/>
    <w:rsid w:val="006366CF"/>
    <w:rsid w:val="00640DC7"/>
    <w:rsid w:val="00662CA2"/>
    <w:rsid w:val="006D1125"/>
    <w:rsid w:val="006F0FD2"/>
    <w:rsid w:val="00710130"/>
    <w:rsid w:val="0071013E"/>
    <w:rsid w:val="00714447"/>
    <w:rsid w:val="0073001A"/>
    <w:rsid w:val="00731A1D"/>
    <w:rsid w:val="007376E8"/>
    <w:rsid w:val="007D160F"/>
    <w:rsid w:val="007E192D"/>
    <w:rsid w:val="007E645B"/>
    <w:rsid w:val="007F2922"/>
    <w:rsid w:val="008032DE"/>
    <w:rsid w:val="0083682B"/>
    <w:rsid w:val="00852474"/>
    <w:rsid w:val="00853572"/>
    <w:rsid w:val="008A479E"/>
    <w:rsid w:val="008C7D98"/>
    <w:rsid w:val="00900E80"/>
    <w:rsid w:val="009050C9"/>
    <w:rsid w:val="0092148A"/>
    <w:rsid w:val="00943AF3"/>
    <w:rsid w:val="00977361"/>
    <w:rsid w:val="00977A40"/>
    <w:rsid w:val="00A166C5"/>
    <w:rsid w:val="00A64241"/>
    <w:rsid w:val="00A823FF"/>
    <w:rsid w:val="00AB3A98"/>
    <w:rsid w:val="00AE3E82"/>
    <w:rsid w:val="00B11933"/>
    <w:rsid w:val="00B30734"/>
    <w:rsid w:val="00B42705"/>
    <w:rsid w:val="00B639A2"/>
    <w:rsid w:val="00B84A75"/>
    <w:rsid w:val="00BF77DD"/>
    <w:rsid w:val="00C12348"/>
    <w:rsid w:val="00C51119"/>
    <w:rsid w:val="00C750B1"/>
    <w:rsid w:val="00C91C95"/>
    <w:rsid w:val="00D26756"/>
    <w:rsid w:val="00D43E80"/>
    <w:rsid w:val="00D65FB1"/>
    <w:rsid w:val="00D92DF9"/>
    <w:rsid w:val="00D930A7"/>
    <w:rsid w:val="00DA111F"/>
    <w:rsid w:val="00DA5A56"/>
    <w:rsid w:val="00DB7C5B"/>
    <w:rsid w:val="00DC681E"/>
    <w:rsid w:val="00DE512C"/>
    <w:rsid w:val="00E849F2"/>
    <w:rsid w:val="00E909BE"/>
    <w:rsid w:val="00EF07B6"/>
    <w:rsid w:val="00F257D4"/>
    <w:rsid w:val="00F379E9"/>
    <w:rsid w:val="00F577DF"/>
    <w:rsid w:val="00F74367"/>
    <w:rsid w:val="00F763D8"/>
    <w:rsid w:val="00F93D21"/>
    <w:rsid w:val="00FC498B"/>
    <w:rsid w:val="00FD480F"/>
    <w:rsid w:val="00FF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00A4C-BE0F-4F6B-8D37-C26FBDBB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4B1"/>
  </w:style>
  <w:style w:type="paragraph" w:styleId="Heading1">
    <w:name w:val="heading 1"/>
    <w:basedOn w:val="Normal"/>
    <w:next w:val="Normal"/>
    <w:link w:val="Heading1Char"/>
    <w:uiPriority w:val="9"/>
    <w:qFormat/>
    <w:rsid w:val="007144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48A"/>
  </w:style>
  <w:style w:type="paragraph" w:styleId="Footer">
    <w:name w:val="footer"/>
    <w:basedOn w:val="Normal"/>
    <w:link w:val="FooterChar"/>
    <w:uiPriority w:val="99"/>
    <w:unhideWhenUsed/>
    <w:rsid w:val="00921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48A"/>
  </w:style>
  <w:style w:type="character" w:customStyle="1" w:styleId="Heading1Char">
    <w:name w:val="Heading 1 Char"/>
    <w:basedOn w:val="DefaultParagraphFont"/>
    <w:link w:val="Heading1"/>
    <w:uiPriority w:val="9"/>
    <w:rsid w:val="0071444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064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962"/>
    <w:rPr>
      <w:rFonts w:ascii="Segoe UI" w:hAnsi="Segoe UI" w:cs="Segoe UI"/>
      <w:sz w:val="18"/>
      <w:szCs w:val="18"/>
    </w:rPr>
  </w:style>
  <w:style w:type="paragraph" w:styleId="BodyText2">
    <w:name w:val="Body Text 2"/>
    <w:basedOn w:val="Normal"/>
    <w:link w:val="BodyText2Char"/>
    <w:semiHidden/>
    <w:rsid w:val="0073001A"/>
    <w:pPr>
      <w:spacing w:after="0" w:line="240" w:lineRule="auto"/>
      <w:jc w:val="both"/>
    </w:pPr>
    <w:rPr>
      <w:rFonts w:ascii="Times New Roman" w:eastAsia="Times New Roman" w:hAnsi="Times New Roman" w:cs="Times New Roman"/>
      <w:noProof/>
      <w:sz w:val="24"/>
      <w:szCs w:val="24"/>
      <w:lang w:val="en-US"/>
    </w:rPr>
  </w:style>
  <w:style w:type="character" w:customStyle="1" w:styleId="BodyText2Char">
    <w:name w:val="Body Text 2 Char"/>
    <w:basedOn w:val="DefaultParagraphFont"/>
    <w:link w:val="BodyText2"/>
    <w:semiHidden/>
    <w:rsid w:val="0073001A"/>
    <w:rPr>
      <w:rFonts w:ascii="Times New Roman" w:eastAsia="Times New Roman" w:hAnsi="Times New Roman" w:cs="Times New Roman"/>
      <w:noProof/>
      <w:sz w:val="24"/>
      <w:szCs w:val="24"/>
      <w:lang w:val="en-US"/>
    </w:rPr>
  </w:style>
  <w:style w:type="paragraph" w:styleId="NormalWeb">
    <w:name w:val="Normal (Web)"/>
    <w:basedOn w:val="Normal"/>
    <w:uiPriority w:val="99"/>
    <w:semiHidden/>
    <w:unhideWhenUsed/>
    <w:rsid w:val="00503A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A BLYTHING</dc:creator>
  <cp:keywords/>
  <dc:description/>
  <cp:lastModifiedBy>Mrs C Barker</cp:lastModifiedBy>
  <cp:revision>2</cp:revision>
  <cp:lastPrinted>2018-01-04T11:48:00Z</cp:lastPrinted>
  <dcterms:created xsi:type="dcterms:W3CDTF">2018-01-05T10:23:00Z</dcterms:created>
  <dcterms:modified xsi:type="dcterms:W3CDTF">2018-01-05T10:23:00Z</dcterms:modified>
</cp:coreProperties>
</file>