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73" w:rsidRDefault="009D0573">
      <w:bookmarkStart w:id="0" w:name="_GoBack"/>
      <w:bookmarkEnd w:id="0"/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63A12EC" wp14:editId="1CF4A33B">
            <wp:simplePos x="0" y="0"/>
            <wp:positionH relativeFrom="column">
              <wp:posOffset>2409825</wp:posOffset>
            </wp:positionH>
            <wp:positionV relativeFrom="paragraph">
              <wp:posOffset>-994410</wp:posOffset>
            </wp:positionV>
            <wp:extent cx="1209675" cy="1209675"/>
            <wp:effectExtent l="0" t="0" r="9525" b="9525"/>
            <wp:wrapNone/>
            <wp:docPr id="1" name="Picture 1" descr="H:\Logos\black W_logo (USE - MAY 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lack W_logo (USE - MAY 20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94" w:type="dxa"/>
        <w:tblInd w:w="88" w:type="dxa"/>
        <w:tblLook w:val="0000" w:firstRow="0" w:lastRow="0" w:firstColumn="0" w:lastColumn="0" w:noHBand="0" w:noVBand="0"/>
      </w:tblPr>
      <w:tblGrid>
        <w:gridCol w:w="446"/>
        <w:gridCol w:w="482"/>
        <w:gridCol w:w="946"/>
        <w:gridCol w:w="2813"/>
        <w:gridCol w:w="1900"/>
        <w:gridCol w:w="2507"/>
      </w:tblGrid>
      <w:tr w:rsidR="0007501F" w:rsidTr="00ED7C78">
        <w:trPr>
          <w:trHeight w:val="315"/>
        </w:trPr>
        <w:tc>
          <w:tcPr>
            <w:tcW w:w="9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JOB DESCRIPTION</w:t>
            </w:r>
          </w:p>
        </w:tc>
      </w:tr>
      <w:tr w:rsidR="0007501F" w:rsidTr="0061784D">
        <w:trPr>
          <w:trHeight w:val="315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</w:tr>
      <w:tr w:rsidR="0007501F" w:rsidTr="0061784D">
        <w:trPr>
          <w:trHeight w:val="315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85" w:rsidRDefault="00545236" w:rsidP="004D39C8">
            <w:pPr>
              <w:jc w:val="both"/>
            </w:pPr>
            <w:r>
              <w:t xml:space="preserve">Senior Systems and </w:t>
            </w:r>
            <w:r w:rsidR="00664485">
              <w:t>Network Manager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Job No: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</w:tr>
      <w:tr w:rsidR="0007501F" w:rsidTr="0061784D">
        <w:trPr>
          <w:trHeight w:val="315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</w:tr>
      <w:tr w:rsidR="0007501F" w:rsidTr="0061784D">
        <w:trPr>
          <w:trHeight w:val="315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664485" w:rsidP="00ED7C78">
            <w:pPr>
              <w:jc w:val="both"/>
            </w:pPr>
            <w:r>
              <w:t>GR5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</w:pPr>
          </w:p>
        </w:tc>
      </w:tr>
      <w:tr w:rsidR="0007501F" w:rsidTr="0061784D">
        <w:trPr>
          <w:trHeight w:val="315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</w:tr>
      <w:tr w:rsidR="0007501F" w:rsidTr="0061784D">
        <w:trPr>
          <w:trHeight w:val="315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 of Posts: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664485" w:rsidP="00ED7C78">
            <w:pPr>
              <w:jc w:val="both"/>
            </w:pPr>
            <w: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</w:pPr>
          </w:p>
        </w:tc>
      </w:tr>
      <w:tr w:rsidR="0007501F" w:rsidTr="00F84D14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</w:tr>
      <w:tr w:rsidR="0007501F" w:rsidTr="00F84D14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JOB PURPOSE:</w:t>
            </w:r>
          </w:p>
          <w:p w:rsidR="00664485" w:rsidRDefault="00664485" w:rsidP="00ED7C78">
            <w:pPr>
              <w:jc w:val="both"/>
              <w:rPr>
                <w:b/>
                <w:bCs/>
                <w:u w:val="single"/>
              </w:rPr>
            </w:pPr>
          </w:p>
          <w:p w:rsidR="0041560F" w:rsidRPr="0041560F" w:rsidRDefault="0041560F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To provide leadership, vision and management of the IT support department.</w:t>
            </w:r>
          </w:p>
          <w:p w:rsidR="00664485" w:rsidRPr="00664485" w:rsidRDefault="00664485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To manage and</w:t>
            </w:r>
            <w:r w:rsidR="00F84D14">
              <w:rPr>
                <w:bCs/>
              </w:rPr>
              <w:t xml:space="preserve"> strategically</w:t>
            </w:r>
            <w:r>
              <w:rPr>
                <w:bCs/>
              </w:rPr>
              <w:t xml:space="preserve"> lead on the provision of IT systems, including software, hardware, </w:t>
            </w:r>
            <w:r w:rsidR="0041560F">
              <w:rPr>
                <w:bCs/>
              </w:rPr>
              <w:t xml:space="preserve">telephony, </w:t>
            </w:r>
            <w:r>
              <w:rPr>
                <w:bCs/>
              </w:rPr>
              <w:t xml:space="preserve">network </w:t>
            </w:r>
            <w:proofErr w:type="gramStart"/>
            <w:r>
              <w:rPr>
                <w:bCs/>
              </w:rPr>
              <w:t>infrastructu</w:t>
            </w:r>
            <w:r w:rsidR="00AC38AF">
              <w:rPr>
                <w:bCs/>
              </w:rPr>
              <w:t>re,</w:t>
            </w:r>
            <w:proofErr w:type="gramEnd"/>
            <w:r w:rsidR="00AC38AF">
              <w:rPr>
                <w:bCs/>
              </w:rPr>
              <w:t xml:space="preserve"> and audio-visual equipment </w:t>
            </w:r>
            <w:r>
              <w:rPr>
                <w:bCs/>
              </w:rPr>
              <w:t xml:space="preserve">across the Trust. </w:t>
            </w:r>
          </w:p>
          <w:p w:rsidR="00664485" w:rsidRPr="00664485" w:rsidRDefault="00664485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ensure that all IT systems across the Trust are readily available for operational use. </w:t>
            </w:r>
          </w:p>
          <w:p w:rsidR="00664485" w:rsidRPr="00664485" w:rsidRDefault="00664485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Identify opportunities for further development of IT provision across the Trust. </w:t>
            </w:r>
          </w:p>
          <w:p w:rsidR="00664485" w:rsidRPr="00664485" w:rsidRDefault="00664485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Design, plan, and implement on-going improvements to the IT provision across </w:t>
            </w:r>
            <w:r w:rsidR="00AC38AF">
              <w:rPr>
                <w:bCs/>
              </w:rPr>
              <w:t xml:space="preserve">the Trust, reacting to </w:t>
            </w:r>
            <w:r>
              <w:rPr>
                <w:bCs/>
              </w:rPr>
              <w:t>changing operational needs.</w:t>
            </w:r>
          </w:p>
          <w:p w:rsidR="00664485" w:rsidRPr="000A038E" w:rsidRDefault="00664485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Provide strategic oversight and advice for the on-going maintenance and development of IT systems across the Trust. </w:t>
            </w:r>
          </w:p>
          <w:p w:rsidR="000A038E" w:rsidRPr="00664485" w:rsidRDefault="000A038E" w:rsidP="00664485">
            <w:pPr>
              <w:pStyle w:val="ListParagraph"/>
              <w:numPr>
                <w:ilvl w:val="0"/>
                <w:numId w:val="1"/>
              </w:numPr>
              <w:spacing w:after="120"/>
              <w:ind w:hanging="601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Routinely report on the performance of the IT support team, suggesting and implementing on-going improvements to efficiency and provision. </w:t>
            </w:r>
          </w:p>
        </w:tc>
      </w:tr>
      <w:tr w:rsidR="0007501F" w:rsidTr="00F84D14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</w:rPr>
            </w:pPr>
          </w:p>
        </w:tc>
      </w:tr>
      <w:tr w:rsidR="0007501F" w:rsidTr="00F84D14">
        <w:trPr>
          <w:trHeight w:val="276"/>
        </w:trPr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86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1F" w:rsidRDefault="0007501F" w:rsidP="00ED7C7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DUTIES AND RESPONSIBILITIES:</w:t>
            </w:r>
          </w:p>
          <w:p w:rsidR="00664485" w:rsidRDefault="00664485" w:rsidP="00ED7C78">
            <w:pPr>
              <w:jc w:val="both"/>
              <w:rPr>
                <w:b/>
                <w:bCs/>
                <w:u w:val="single"/>
              </w:rPr>
            </w:pPr>
          </w:p>
          <w:p w:rsidR="00664485" w:rsidRPr="00545236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T</w:t>
            </w:r>
            <w:r w:rsidRPr="00664485">
              <w:rPr>
                <w:bCs/>
              </w:rPr>
              <w:t>o contribute, develop, and implement the IT development strategy for the whole school, including use of desktop devices, mobile devices, network infrastructure, network appliances and peripherals.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work closely with the Trust leadership team to develop ICT strategies in line with improving the use of IT within internal systems and practice.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routinely audit the ICT provision across the Trust and make recommendations for further developments.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provide leadership and management for a designated team of support staff. </w:t>
            </w:r>
          </w:p>
          <w:p w:rsidR="00664485" w:rsidRPr="00545236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To manage and lead the direction of the IT support team.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proofErr w:type="gramStart"/>
            <w:r>
              <w:rPr>
                <w:bCs/>
              </w:rPr>
              <w:t>Line manage</w:t>
            </w:r>
            <w:proofErr w:type="gramEnd"/>
            <w:r>
              <w:rPr>
                <w:bCs/>
              </w:rPr>
              <w:t xml:space="preserve"> direct reports in order to maintain effective and efficient operation of the department.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Hold regular team meetings to address any issues arising and to bring </w:t>
            </w:r>
            <w:r>
              <w:rPr>
                <w:bCs/>
              </w:rPr>
              <w:lastRenderedPageBreak/>
              <w:t xml:space="preserve">these to an acceptable conclusion wherever possible.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be responsible for the induction of new staff to the team.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manage and maintain effective succession planning structures.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Assist other members of the team to develop additional skills.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lead on the use of cloud-based technologies across the Trust. </w:t>
            </w:r>
          </w:p>
          <w:p w:rsidR="00545236" w:rsidRPr="00664485" w:rsidRDefault="000A038E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Oversee and manage the use of portable digital devices employed by the Trust. </w:t>
            </w:r>
          </w:p>
          <w:p w:rsidR="00664485" w:rsidRPr="00664485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Liaise routinely with the Director of Finance and Director of Communications concerning IT provision. </w:t>
            </w:r>
          </w:p>
          <w:p w:rsidR="00545236" w:rsidRPr="00545236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Prioritise and strategically resolve IT support issues, implementing long-term strategies for development where on-going problems are identified.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ensure optimum performance and continuity of service for all IT facilities. 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Produce timely, full and costed proposals which are sustainable.</w:t>
            </w:r>
          </w:p>
          <w:p w:rsidR="00545236" w:rsidRPr="000A038E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be responsible for ICT procurement, tendering, supplier management, software licensing, and contract management. </w:t>
            </w:r>
          </w:p>
          <w:p w:rsidR="00664485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Oversee the work of external IT contractors, liaising with Site Management accordingly. </w:t>
            </w:r>
            <w:r w:rsidR="00664485" w:rsidRPr="00545236">
              <w:rPr>
                <w:bCs/>
              </w:rPr>
              <w:t xml:space="preserve"> </w:t>
            </w:r>
          </w:p>
          <w:p w:rsidR="00664485" w:rsidRPr="00664485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To liaise with external IT support agencies, to provide IT support to the school.</w:t>
            </w:r>
          </w:p>
          <w:p w:rsidR="00664485" w:rsidRPr="0041560F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To manage the configuration and management of software and hardware.</w:t>
            </w:r>
          </w:p>
          <w:p w:rsidR="0041560F" w:rsidRPr="0041560F" w:rsidRDefault="0041560F" w:rsidP="0041560F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Provide 1</w:t>
            </w:r>
            <w:r w:rsidRPr="0041560F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and 2</w:t>
            </w:r>
            <w:r w:rsidRPr="0041560F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line support to the Trust, supporting the IT technical support team with technical issues requiring escalation. </w:t>
            </w:r>
          </w:p>
          <w:p w:rsidR="000A038E" w:rsidRPr="000A038E" w:rsidRDefault="000A038E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Ensure that the IT resources, processing, and storage capacity meet the current and future needs of the Trusts’ development. </w:t>
            </w:r>
          </w:p>
          <w:p w:rsidR="000A038E" w:rsidRPr="00664485" w:rsidRDefault="000A038E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Management of the IT helpdesk to resolve issues quickly and effective, consulting with external support agencies where necessary. </w:t>
            </w:r>
          </w:p>
          <w:p w:rsidR="00664485" w:rsidRPr="0041560F" w:rsidRDefault="00664485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To maintain existing installation</w:t>
            </w:r>
            <w:r w:rsidR="00F84D14">
              <w:rPr>
                <w:bCs/>
              </w:rPr>
              <w:t>s of sof</w:t>
            </w:r>
            <w:r>
              <w:rPr>
                <w:bCs/>
              </w:rPr>
              <w:t>t</w:t>
            </w:r>
            <w:r w:rsidR="00F84D14">
              <w:rPr>
                <w:bCs/>
              </w:rPr>
              <w:t>ware and hardware.</w:t>
            </w:r>
          </w:p>
          <w:p w:rsidR="0041560F" w:rsidRPr="00F84D14" w:rsidRDefault="0041560F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Co-ordinate asset management for IT equipment, including decommissioning of outdated/irreparable assets, and to ensure all high-value items are securely marked. </w:t>
            </w:r>
          </w:p>
          <w:p w:rsidR="00F84D14" w:rsidRPr="00F84D14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prepare a specification for procurement, build, configuration, and install of software and hardware for IT systems across the Trust. </w:t>
            </w:r>
          </w:p>
          <w:p w:rsidR="00F84D14" w:rsidRPr="00545236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To regularly report outcomes to senior leaders and the Trust leadership team. </w:t>
            </w:r>
          </w:p>
          <w:p w:rsidR="00545236" w:rsidRPr="00F84D14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Oversee network administration, including the enrolment of new staff and students, controlling access levels. </w:t>
            </w:r>
          </w:p>
          <w:p w:rsidR="00F84D14" w:rsidRPr="000A038E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Develop and enhance </w:t>
            </w:r>
            <w:r w:rsidR="000A038E">
              <w:rPr>
                <w:bCs/>
              </w:rPr>
              <w:t xml:space="preserve">high-level </w:t>
            </w:r>
            <w:r>
              <w:rPr>
                <w:bCs/>
              </w:rPr>
              <w:t>security systems</w:t>
            </w:r>
            <w:r w:rsidR="000A038E">
              <w:rPr>
                <w:bCs/>
              </w:rPr>
              <w:t xml:space="preserve"> and secure access protocols</w:t>
            </w:r>
            <w:r>
              <w:rPr>
                <w:bCs/>
              </w:rPr>
              <w:t xml:space="preserve">, actively supporting the security and safety of the network </w:t>
            </w:r>
            <w:r>
              <w:rPr>
                <w:bCs/>
              </w:rPr>
              <w:lastRenderedPageBreak/>
              <w:t xml:space="preserve">across the Trust. </w:t>
            </w:r>
          </w:p>
          <w:p w:rsidR="000A038E" w:rsidRPr="000A038E" w:rsidRDefault="000A038E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Ensure the IT services are robust, secure, safe, resilient, scalable, and responsive. This includes implementing a full backup and restoration plan so that :</w:t>
            </w:r>
          </w:p>
          <w:p w:rsidR="000A038E" w:rsidRPr="000A038E" w:rsidRDefault="000A038E" w:rsidP="000A038E">
            <w:pPr>
              <w:pStyle w:val="ListParagraph"/>
              <w:numPr>
                <w:ilvl w:val="1"/>
                <w:numId w:val="2"/>
              </w:numPr>
              <w:spacing w:after="120"/>
              <w:ind w:left="1876" w:hanging="99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All IT systems and technical resources are fully recoverable within the immediate term. </w:t>
            </w:r>
          </w:p>
          <w:p w:rsidR="000A038E" w:rsidRPr="000A038E" w:rsidRDefault="000A038E" w:rsidP="000A038E">
            <w:pPr>
              <w:pStyle w:val="ListParagraph"/>
              <w:numPr>
                <w:ilvl w:val="1"/>
                <w:numId w:val="2"/>
              </w:numPr>
              <w:spacing w:after="120"/>
              <w:ind w:left="1876" w:hanging="99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Back-up and recovery procedures are tested regularly. </w:t>
            </w:r>
          </w:p>
          <w:p w:rsidR="000A038E" w:rsidRPr="000A038E" w:rsidRDefault="000A038E" w:rsidP="000A038E">
            <w:pPr>
              <w:pStyle w:val="ListParagraph"/>
              <w:numPr>
                <w:ilvl w:val="1"/>
                <w:numId w:val="2"/>
              </w:numPr>
              <w:spacing w:after="120"/>
              <w:ind w:left="1876" w:hanging="99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Daily/weekly back-up strategies are documented and managed. </w:t>
            </w:r>
          </w:p>
          <w:p w:rsidR="000A038E" w:rsidRPr="000A038E" w:rsidRDefault="000A038E" w:rsidP="000A038E">
            <w:pPr>
              <w:pStyle w:val="ListParagraph"/>
              <w:numPr>
                <w:ilvl w:val="1"/>
                <w:numId w:val="2"/>
              </w:numPr>
              <w:spacing w:after="120"/>
              <w:ind w:left="1876" w:hanging="99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Anti-malware systems are in place and routinely updated. </w:t>
            </w:r>
          </w:p>
          <w:p w:rsidR="00AC38AF" w:rsidRPr="00AC38AF" w:rsidRDefault="00AC38AF" w:rsidP="00AC38AF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To maintain and regularly review an IT disaster recovery strategy as an integral element of the risk register.</w:t>
            </w:r>
          </w:p>
          <w:p w:rsidR="000A038E" w:rsidRPr="000A038E" w:rsidRDefault="000A038E" w:rsidP="00AC38AF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Ensure that systems are in place to provide appropriate and timely usage analysis, real-time monitoring, and other analytics as required. </w:t>
            </w:r>
          </w:p>
          <w:p w:rsidR="00F84D14" w:rsidRPr="00F84D14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To develop systems and operating procedures so that there is a clear fault-finding support system to ensure that problems are swiftly identified and resolved.</w:t>
            </w:r>
          </w:p>
          <w:p w:rsidR="00F84D14" w:rsidRPr="00AC38AF" w:rsidRDefault="00F84D14" w:rsidP="00AC38AF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 xml:space="preserve">To develop systems for the effective in-class support provided by </w:t>
            </w:r>
            <w:r w:rsidR="00AC38AF">
              <w:t>IT</w:t>
            </w:r>
            <w:r>
              <w:t xml:space="preserve"> staff directly to pupils. This ensures that </w:t>
            </w:r>
            <w:r w:rsidR="00AC38AF">
              <w:t>IT</w:t>
            </w:r>
            <w:r>
              <w:t xml:space="preserve"> staff are able, if appropriate, to train, ed</w:t>
            </w:r>
            <w:r w:rsidR="00AC38AF">
              <w:t>ucated and instruct pupils on I</w:t>
            </w:r>
            <w:r>
              <w:t>T related issues and inform them of procedures that are in place for any potential problems they may encounter</w:t>
            </w:r>
          </w:p>
          <w:p w:rsidR="00F84D14" w:rsidRPr="00F84D14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To foster</w:t>
            </w:r>
            <w:r w:rsidR="00AC38AF">
              <w:t xml:space="preserve"> partnership links with other I</w:t>
            </w:r>
            <w:r>
              <w:t>T providers.</w:t>
            </w:r>
          </w:p>
          <w:p w:rsidR="00F84D14" w:rsidRPr="00545236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To develop a quality assurance programme for all software, and that there is a clear service level agreement for the provision of ICT support to serve within the school.</w:t>
            </w:r>
          </w:p>
          <w:p w:rsidR="00545236" w:rsidRPr="00545236" w:rsidRDefault="00545236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 xml:space="preserve">Provide on-going continuing professional development to employees of the Trust on the use of IT equipment and software. </w:t>
            </w:r>
          </w:p>
          <w:p w:rsidR="00F84D14" w:rsidRPr="00F84D14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 xml:space="preserve">To ensure all tasks are carried out with due regard to Health and Safety. </w:t>
            </w:r>
          </w:p>
          <w:p w:rsidR="00F84D14" w:rsidRPr="0041560F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 xml:space="preserve">To undertake appropriate professional development including adhering to the principles of performance management. </w:t>
            </w:r>
          </w:p>
          <w:p w:rsidR="0041560F" w:rsidRPr="00F84D14" w:rsidRDefault="0041560F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Maintain the highest level of confidentiality, maintaining appropriate professional discretion concerning access to data and sensitive material.</w:t>
            </w:r>
          </w:p>
          <w:p w:rsidR="00F84D14" w:rsidRPr="00F84D14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>To adhere to the ethos and values of the Trust.</w:t>
            </w:r>
          </w:p>
          <w:p w:rsidR="00F84D14" w:rsidRPr="00F84D14" w:rsidRDefault="00F84D14" w:rsidP="00AC38AF">
            <w:pPr>
              <w:pStyle w:val="ListParagraph"/>
              <w:numPr>
                <w:ilvl w:val="1"/>
                <w:numId w:val="3"/>
              </w:numPr>
              <w:spacing w:after="120"/>
              <w:ind w:hanging="698"/>
              <w:contextualSpacing w:val="0"/>
              <w:jc w:val="both"/>
              <w:rPr>
                <w:b/>
                <w:bCs/>
                <w:u w:val="single"/>
              </w:rPr>
            </w:pPr>
            <w:r>
              <w:t>To promote the agreed vision and aims of the school.</w:t>
            </w:r>
          </w:p>
          <w:p w:rsidR="00F84D14" w:rsidRPr="00F84D14" w:rsidRDefault="00F84D14" w:rsidP="00AC38AF">
            <w:pPr>
              <w:pStyle w:val="ListParagraph"/>
              <w:numPr>
                <w:ilvl w:val="1"/>
                <w:numId w:val="3"/>
              </w:numPr>
              <w:spacing w:after="120"/>
              <w:ind w:hanging="698"/>
              <w:contextualSpacing w:val="0"/>
              <w:jc w:val="both"/>
              <w:rPr>
                <w:b/>
                <w:bCs/>
                <w:u w:val="single"/>
              </w:rPr>
            </w:pPr>
            <w:r>
              <w:t xml:space="preserve">To set an example of personal integrity and professionalism. </w:t>
            </w:r>
          </w:p>
          <w:p w:rsidR="00F84D14" w:rsidRPr="00F84D14" w:rsidRDefault="00F84D14" w:rsidP="00AC38AF">
            <w:pPr>
              <w:pStyle w:val="ListParagraph"/>
              <w:numPr>
                <w:ilvl w:val="1"/>
                <w:numId w:val="3"/>
              </w:numPr>
              <w:spacing w:after="120"/>
              <w:ind w:hanging="698"/>
              <w:contextualSpacing w:val="0"/>
              <w:jc w:val="both"/>
              <w:rPr>
                <w:b/>
                <w:bCs/>
                <w:u w:val="single"/>
              </w:rPr>
            </w:pPr>
            <w:r>
              <w:t>Attendance at appropriate staff meetings and parents evenings.</w:t>
            </w:r>
          </w:p>
          <w:p w:rsidR="00F84D14" w:rsidRPr="00F84D14" w:rsidRDefault="00F84D14" w:rsidP="00545236">
            <w:pPr>
              <w:pStyle w:val="ListParagraph"/>
              <w:numPr>
                <w:ilvl w:val="0"/>
                <w:numId w:val="2"/>
              </w:numPr>
              <w:spacing w:after="120"/>
              <w:ind w:hanging="602"/>
              <w:contextualSpacing w:val="0"/>
              <w:jc w:val="both"/>
              <w:rPr>
                <w:b/>
                <w:bCs/>
                <w:u w:val="single"/>
              </w:rPr>
            </w:pPr>
            <w:r>
              <w:t xml:space="preserve">Any other duties as commensurate with the grade in order to ensure the smooth running of the Trust.  </w:t>
            </w:r>
          </w:p>
          <w:p w:rsidR="00664485" w:rsidRDefault="00664485" w:rsidP="00ED7C78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07501F" w:rsidTr="00F84D14">
        <w:trPr>
          <w:trHeight w:val="276"/>
        </w:trPr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01F" w:rsidRDefault="0007501F" w:rsidP="00ED7C78">
            <w:pPr>
              <w:rPr>
                <w:b/>
                <w:bCs/>
                <w:u w:val="single"/>
              </w:rPr>
            </w:pPr>
          </w:p>
        </w:tc>
        <w:tc>
          <w:tcPr>
            <w:tcW w:w="8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01F" w:rsidRDefault="0007501F" w:rsidP="00ED7C78">
            <w:pPr>
              <w:rPr>
                <w:b/>
                <w:bCs/>
                <w:u w:val="single"/>
              </w:rPr>
            </w:pPr>
          </w:p>
        </w:tc>
      </w:tr>
      <w:tr w:rsidR="00545236" w:rsidTr="00F84D14">
        <w:trPr>
          <w:trHeight w:val="27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36" w:rsidRDefault="00545236" w:rsidP="00ED7C78">
            <w:pPr>
              <w:rPr>
                <w:b/>
                <w:bCs/>
                <w:u w:val="single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36" w:rsidRDefault="00545236" w:rsidP="00ED7C78">
            <w:pPr>
              <w:rPr>
                <w:b/>
                <w:bCs/>
                <w:u w:val="single"/>
              </w:rPr>
            </w:pPr>
          </w:p>
        </w:tc>
      </w:tr>
    </w:tbl>
    <w:p w:rsidR="00B42ACF" w:rsidRDefault="00B42ACF" w:rsidP="009D0573">
      <w:pPr>
        <w:jc w:val="both"/>
      </w:pPr>
    </w:p>
    <w:sectPr w:rsidR="00B4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DC4"/>
    <w:multiLevelType w:val="hybridMultilevel"/>
    <w:tmpl w:val="2BCE082E"/>
    <w:lvl w:ilvl="0" w:tplc="0674C8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2E83148">
      <w:start w:val="1"/>
      <w:numFmt w:val="decimal"/>
      <w:lvlText w:val="2.41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ACA"/>
    <w:multiLevelType w:val="hybridMultilevel"/>
    <w:tmpl w:val="F8764AE0"/>
    <w:lvl w:ilvl="0" w:tplc="0674C8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67EE8B00">
      <w:start w:val="1"/>
      <w:numFmt w:val="decimal"/>
      <w:lvlText w:val="2.30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92B3C"/>
    <w:multiLevelType w:val="hybridMultilevel"/>
    <w:tmpl w:val="8AA43B38"/>
    <w:lvl w:ilvl="0" w:tplc="BB6A64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F"/>
    <w:rsid w:val="0007501F"/>
    <w:rsid w:val="000A038E"/>
    <w:rsid w:val="00131646"/>
    <w:rsid w:val="0041560F"/>
    <w:rsid w:val="004D39C8"/>
    <w:rsid w:val="00545236"/>
    <w:rsid w:val="00575B8D"/>
    <w:rsid w:val="005C1540"/>
    <w:rsid w:val="0061784D"/>
    <w:rsid w:val="00633F15"/>
    <w:rsid w:val="00664485"/>
    <w:rsid w:val="006C1390"/>
    <w:rsid w:val="009D0573"/>
    <w:rsid w:val="00AC38AF"/>
    <w:rsid w:val="00B42ACF"/>
    <w:rsid w:val="00DC1591"/>
    <w:rsid w:val="00F1399A"/>
    <w:rsid w:val="00F84D14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0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0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7B82-A51F-4E9A-B4F5-822F2325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Aslam</dc:creator>
  <cp:lastModifiedBy>Tammy Aslam</cp:lastModifiedBy>
  <cp:revision>2</cp:revision>
  <cp:lastPrinted>2020-03-04T17:28:00Z</cp:lastPrinted>
  <dcterms:created xsi:type="dcterms:W3CDTF">2020-03-12T13:53:00Z</dcterms:created>
  <dcterms:modified xsi:type="dcterms:W3CDTF">2020-03-12T13:53:00Z</dcterms:modified>
</cp:coreProperties>
</file>