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AB1A30" w:rsidP="000B6AB8">
      <w:pPr>
        <w:spacing w:line="240" w:lineRule="auto"/>
      </w:pPr>
      <w:r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-914704</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7">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E071"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p>
    <w:p w:rsidR="00D54FDA" w:rsidRPr="00D54FDA" w:rsidRDefault="00445AAF"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1977EF" w:rsidRDefault="00A84B27"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Teacher of Chemistry</w:t>
                            </w:r>
                          </w:p>
                          <w:p w:rsidR="00306713" w:rsidRPr="000631BA" w:rsidRDefault="00306713" w:rsidP="00306713">
                            <w:pPr>
                              <w:spacing w:after="0"/>
                              <w:jc w:val="both"/>
                              <w:rPr>
                                <w:rFonts w:ascii="Arial" w:hAnsi="Arial" w:cs="Arial"/>
                                <w:b/>
                                <w:sz w:val="28"/>
                                <w:szCs w:val="21"/>
                              </w:rPr>
                            </w:pPr>
                          </w:p>
                          <w:p w:rsidR="00306713" w:rsidRDefault="00306713" w:rsidP="00306713">
                            <w:pPr>
                              <w:jc w:val="center"/>
                              <w:rPr>
                                <w:rFonts w:ascii="Arial" w:hAnsi="Arial" w:cs="Arial"/>
                                <w:sz w:val="28"/>
                              </w:rPr>
                            </w:pPr>
                            <w:r w:rsidRPr="000631BA">
                              <w:rPr>
                                <w:rFonts w:ascii="Arial" w:hAnsi="Arial" w:cs="Arial"/>
                                <w:sz w:val="28"/>
                              </w:rPr>
                              <w:t>MPS/UPS (£23,720 - £39,406 per annum)</w:t>
                            </w:r>
                          </w:p>
                          <w:p w:rsidR="000B1E9D" w:rsidRPr="008916BE" w:rsidRDefault="00A84B27" w:rsidP="00306713">
                            <w:pPr>
                              <w:jc w:val="center"/>
                              <w:rPr>
                                <w:rFonts w:ascii="Arial" w:hAnsi="Arial" w:cs="Arial"/>
                                <w:b/>
                                <w:sz w:val="40"/>
                                <w:szCs w:val="40"/>
                              </w:rPr>
                            </w:pPr>
                            <w:r>
                              <w:rPr>
                                <w:rFonts w:ascii="Arial" w:hAnsi="Arial" w:cs="Arial"/>
                                <w:b/>
                                <w:sz w:val="40"/>
                                <w:szCs w:val="40"/>
                              </w:rPr>
                              <w:t>*Required for January 2020</w:t>
                            </w:r>
                            <w:r w:rsidR="000B1E9D" w:rsidRPr="008916BE">
                              <w:rPr>
                                <w:rFonts w:ascii="Arial" w:hAnsi="Arial" w:cs="Arial"/>
                                <w:b/>
                                <w:sz w:val="40"/>
                                <w:szCs w:val="40"/>
                              </w:rPr>
                              <w:t>*</w:t>
                            </w:r>
                          </w:p>
                          <w:p w:rsidR="00306713" w:rsidRDefault="00306713" w:rsidP="000B1E9D">
                            <w:pPr>
                              <w:spacing w:after="0"/>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1977EF" w:rsidRDefault="00A84B27"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Teacher of Chemistry</w:t>
                      </w:r>
                    </w:p>
                    <w:p w:rsidR="00306713" w:rsidRPr="000631BA" w:rsidRDefault="00306713" w:rsidP="00306713">
                      <w:pPr>
                        <w:spacing w:after="0"/>
                        <w:jc w:val="both"/>
                        <w:rPr>
                          <w:rFonts w:ascii="Arial" w:hAnsi="Arial" w:cs="Arial"/>
                          <w:b/>
                          <w:sz w:val="28"/>
                          <w:szCs w:val="21"/>
                        </w:rPr>
                      </w:pPr>
                    </w:p>
                    <w:p w:rsidR="00306713" w:rsidRDefault="00306713" w:rsidP="00306713">
                      <w:pPr>
                        <w:jc w:val="center"/>
                        <w:rPr>
                          <w:rFonts w:ascii="Arial" w:hAnsi="Arial" w:cs="Arial"/>
                          <w:sz w:val="28"/>
                        </w:rPr>
                      </w:pPr>
                      <w:r w:rsidRPr="000631BA">
                        <w:rPr>
                          <w:rFonts w:ascii="Arial" w:hAnsi="Arial" w:cs="Arial"/>
                          <w:sz w:val="28"/>
                        </w:rPr>
                        <w:t>MPS/UPS (£23,720 - £39,406 per annum)</w:t>
                      </w:r>
                    </w:p>
                    <w:p w:rsidR="000B1E9D" w:rsidRPr="008916BE" w:rsidRDefault="00A84B27" w:rsidP="00306713">
                      <w:pPr>
                        <w:jc w:val="center"/>
                        <w:rPr>
                          <w:rFonts w:ascii="Arial" w:hAnsi="Arial" w:cs="Arial"/>
                          <w:b/>
                          <w:sz w:val="40"/>
                          <w:szCs w:val="40"/>
                        </w:rPr>
                      </w:pPr>
                      <w:r>
                        <w:rPr>
                          <w:rFonts w:ascii="Arial" w:hAnsi="Arial" w:cs="Arial"/>
                          <w:b/>
                          <w:sz w:val="40"/>
                          <w:szCs w:val="40"/>
                        </w:rPr>
                        <w:t>*Required for January 2020</w:t>
                      </w:r>
                      <w:r w:rsidR="000B1E9D" w:rsidRPr="008916BE">
                        <w:rPr>
                          <w:rFonts w:ascii="Arial" w:hAnsi="Arial" w:cs="Arial"/>
                          <w:b/>
                          <w:sz w:val="40"/>
                          <w:szCs w:val="40"/>
                        </w:rPr>
                        <w:t>*</w:t>
                      </w:r>
                    </w:p>
                    <w:p w:rsidR="00306713" w:rsidRDefault="00306713" w:rsidP="000B1E9D">
                      <w:pPr>
                        <w:spacing w:after="0"/>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6FAF3"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54FDA" w:rsidRDefault="00D54FDA" w:rsidP="00D54FDA">
      <w:pPr>
        <w:jc w:val="center"/>
        <w:rPr>
          <w:b/>
          <w:i/>
          <w:sz w:val="18"/>
          <w:szCs w:val="24"/>
        </w:rPr>
      </w:pPr>
      <w:r w:rsidRPr="00D54FDA">
        <w:rPr>
          <w:b/>
          <w:i/>
          <w:sz w:val="18"/>
          <w:szCs w:val="24"/>
        </w:rPr>
        <w:lastRenderedPageBreak/>
        <w:t>“To open minds, creating opportunities for all to believe in themselves, achieve their potential and develop the skills needed to succeed and enjoy life”.</w:t>
      </w:r>
    </w:p>
    <w:p w:rsidR="00E75EFB" w:rsidRDefault="00AB1A30" w:rsidP="0083521B">
      <w:pPr>
        <w:spacing w:after="0"/>
        <w:jc w:val="center"/>
        <w:rPr>
          <w:rFonts w:ascii="Arial" w:hAnsi="Arial" w:cs="Arial"/>
          <w:b/>
          <w:sz w:val="32"/>
        </w:rPr>
      </w:pPr>
      <w:r>
        <w:rPr>
          <w:rFonts w:ascii="Arial" w:hAnsi="Arial" w:cs="Arial"/>
          <w:b/>
          <w:sz w:val="32"/>
        </w:rPr>
        <w:t xml:space="preserve">Teacher of </w:t>
      </w:r>
      <w:r w:rsidR="00A84B27">
        <w:rPr>
          <w:rFonts w:ascii="Arial" w:hAnsi="Arial" w:cs="Arial"/>
          <w:b/>
          <w:sz w:val="32"/>
        </w:rPr>
        <w:t>Chemistry</w:t>
      </w:r>
    </w:p>
    <w:p w:rsidR="000B1E9D" w:rsidRPr="000B1E9D" w:rsidRDefault="000B1E9D" w:rsidP="000B1E9D">
      <w:pPr>
        <w:jc w:val="center"/>
        <w:rPr>
          <w:rFonts w:ascii="Arial" w:hAnsi="Arial" w:cs="Arial"/>
          <w:b/>
          <w:sz w:val="28"/>
        </w:rPr>
      </w:pPr>
      <w:r w:rsidRPr="000B1E9D">
        <w:rPr>
          <w:rFonts w:ascii="Arial" w:hAnsi="Arial" w:cs="Arial"/>
          <w:b/>
          <w:sz w:val="28"/>
        </w:rPr>
        <w:t xml:space="preserve">*Required for </w:t>
      </w:r>
      <w:r w:rsidR="00A84B27">
        <w:rPr>
          <w:rFonts w:ascii="Arial" w:hAnsi="Arial" w:cs="Arial"/>
          <w:b/>
          <w:sz w:val="28"/>
        </w:rPr>
        <w:t>January 2020</w:t>
      </w:r>
      <w:r w:rsidRPr="000B1E9D">
        <w:rPr>
          <w:rFonts w:ascii="Arial" w:hAnsi="Arial" w:cs="Arial"/>
          <w:b/>
          <w:sz w:val="28"/>
        </w:rPr>
        <w:t>*</w:t>
      </w:r>
    </w:p>
    <w:p w:rsidR="00AB1A30" w:rsidRPr="00FF0959" w:rsidRDefault="00D117E7" w:rsidP="00D117E7">
      <w:pPr>
        <w:jc w:val="center"/>
        <w:rPr>
          <w:rFonts w:ascii="Arial" w:hAnsi="Arial" w:cs="Arial"/>
        </w:rPr>
      </w:pPr>
      <w:r w:rsidRPr="00FF0959">
        <w:rPr>
          <w:rFonts w:ascii="Arial" w:hAnsi="Arial" w:cs="Arial"/>
        </w:rPr>
        <w:t>MPS/UPS (£23,720 - £39,406 per annum)</w:t>
      </w:r>
    </w:p>
    <w:p w:rsidR="00AB1A30" w:rsidRPr="00AB1A30" w:rsidRDefault="00AB1A30" w:rsidP="00AB1A30">
      <w:pPr>
        <w:jc w:val="both"/>
        <w:rPr>
          <w:rFonts w:ascii="Arial" w:hAnsi="Arial" w:cs="Arial"/>
        </w:rPr>
      </w:pPr>
      <w:r w:rsidRPr="00AB1A30">
        <w:rPr>
          <w:rFonts w:ascii="Arial" w:hAnsi="Arial" w:cs="Arial"/>
        </w:rPr>
        <w:t xml:space="preserve">The </w:t>
      </w:r>
      <w:proofErr w:type="spellStart"/>
      <w:r w:rsidRPr="00AB1A30">
        <w:rPr>
          <w:rFonts w:ascii="Arial" w:hAnsi="Arial" w:cs="Arial"/>
        </w:rPr>
        <w:t>Brunts</w:t>
      </w:r>
      <w:proofErr w:type="spellEnd"/>
      <w:r w:rsidRPr="00AB1A30">
        <w:rPr>
          <w:rFonts w:ascii="Arial" w:hAnsi="Arial" w:cs="Arial"/>
        </w:rPr>
        <w:t xml:space="preserve"> Academy Science department are seeking to appoint a Teacher of </w:t>
      </w:r>
      <w:r w:rsidR="00A84B27">
        <w:rPr>
          <w:rFonts w:ascii="Arial" w:hAnsi="Arial" w:cs="Arial"/>
        </w:rPr>
        <w:t>Chemistry</w:t>
      </w:r>
      <w:r w:rsidRPr="00AB1A30">
        <w:rPr>
          <w:rFonts w:ascii="Arial" w:hAnsi="Arial" w:cs="Arial"/>
        </w:rPr>
        <w:t>, with the ability to teach all Key Stages. The successful candidate will join a large team of teaching staff and 2 Science technicians who are strongly focused upon raising standards. We enjoy good outcomes at KS4, with a large proportion of pupils carrying on to study Science in the sixth form where we deli</w:t>
      </w:r>
      <w:r w:rsidR="00EA5537">
        <w:rPr>
          <w:rFonts w:ascii="Arial" w:hAnsi="Arial" w:cs="Arial"/>
        </w:rPr>
        <w:t xml:space="preserve">ver A Level Biology, Chemistry and Physics. </w:t>
      </w:r>
    </w:p>
    <w:p w:rsidR="00D72FC1" w:rsidRDefault="00D72FC1" w:rsidP="00D72FC1">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D72FC1" w:rsidRDefault="00D72FC1" w:rsidP="00D72FC1">
      <w:pPr>
        <w:numPr>
          <w:ilvl w:val="0"/>
          <w:numId w:val="42"/>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D72FC1" w:rsidRDefault="00D72FC1" w:rsidP="00D72FC1">
      <w:pPr>
        <w:numPr>
          <w:ilvl w:val="0"/>
          <w:numId w:val="42"/>
        </w:numPr>
        <w:spacing w:after="0"/>
        <w:rPr>
          <w:rFonts w:ascii="Arial" w:hAnsi="Arial" w:cs="Arial"/>
          <w:color w:val="000000"/>
          <w:szCs w:val="21"/>
        </w:rPr>
      </w:pPr>
      <w:r>
        <w:rPr>
          <w:rFonts w:ascii="Arial" w:hAnsi="Arial" w:cs="Arial"/>
          <w:color w:val="000000"/>
          <w:szCs w:val="21"/>
        </w:rPr>
        <w:t>Students who are willing and eager to learn.</w:t>
      </w:r>
    </w:p>
    <w:p w:rsidR="00D72FC1" w:rsidRDefault="00D72FC1" w:rsidP="00D72FC1">
      <w:pPr>
        <w:numPr>
          <w:ilvl w:val="0"/>
          <w:numId w:val="42"/>
        </w:numPr>
        <w:spacing w:after="0"/>
        <w:rPr>
          <w:rFonts w:ascii="Arial" w:hAnsi="Arial" w:cs="Arial"/>
          <w:color w:val="000000"/>
          <w:szCs w:val="21"/>
        </w:rPr>
      </w:pPr>
      <w:r>
        <w:rPr>
          <w:rFonts w:ascii="Arial" w:hAnsi="Arial" w:cs="Arial"/>
          <w:color w:val="000000"/>
          <w:szCs w:val="21"/>
        </w:rPr>
        <w:t>A track record of innovation and development.</w:t>
      </w:r>
    </w:p>
    <w:p w:rsidR="00D72FC1" w:rsidRDefault="00D72FC1" w:rsidP="00D72FC1">
      <w:pPr>
        <w:numPr>
          <w:ilvl w:val="0"/>
          <w:numId w:val="43"/>
        </w:numPr>
        <w:spacing w:after="0"/>
        <w:rPr>
          <w:rFonts w:ascii="Arial" w:hAnsi="Arial" w:cs="Arial"/>
          <w:color w:val="000000"/>
          <w:szCs w:val="21"/>
        </w:rPr>
      </w:pPr>
      <w:r>
        <w:rPr>
          <w:rFonts w:ascii="Arial" w:hAnsi="Arial" w:cs="Arial"/>
          <w:color w:val="000000"/>
          <w:szCs w:val="21"/>
        </w:rPr>
        <w:t>A high quality provision for personalised staff CPD and leadership development.</w:t>
      </w:r>
    </w:p>
    <w:p w:rsidR="00D72FC1" w:rsidRDefault="00D72FC1" w:rsidP="00D72FC1">
      <w:pPr>
        <w:numPr>
          <w:ilvl w:val="0"/>
          <w:numId w:val="43"/>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D72FC1" w:rsidRDefault="00D72FC1" w:rsidP="00D72FC1">
      <w:pPr>
        <w:numPr>
          <w:ilvl w:val="0"/>
          <w:numId w:val="43"/>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D72FC1" w:rsidRDefault="00D72FC1" w:rsidP="00D72FC1">
      <w:pPr>
        <w:numPr>
          <w:ilvl w:val="0"/>
          <w:numId w:val="44"/>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D72FC1" w:rsidRDefault="00D72FC1" w:rsidP="00D72FC1">
      <w:pPr>
        <w:numPr>
          <w:ilvl w:val="0"/>
          <w:numId w:val="45"/>
        </w:numPr>
        <w:spacing w:after="0"/>
        <w:rPr>
          <w:rFonts w:ascii="Arial" w:hAnsi="Arial" w:cs="Arial"/>
          <w:color w:val="000000"/>
          <w:szCs w:val="21"/>
        </w:rPr>
      </w:pPr>
      <w:r>
        <w:rPr>
          <w:rFonts w:ascii="Arial" w:hAnsi="Arial" w:cs="Arial"/>
          <w:color w:val="000000"/>
          <w:szCs w:val="21"/>
        </w:rPr>
        <w:t>A comprehensive wellbeing scheme </w:t>
      </w:r>
    </w:p>
    <w:p w:rsidR="00D72FC1" w:rsidRDefault="00D72FC1" w:rsidP="00D72FC1">
      <w:pPr>
        <w:numPr>
          <w:ilvl w:val="0"/>
          <w:numId w:val="45"/>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w:t>
      </w:r>
      <w:r w:rsidR="00A966AF">
        <w:rPr>
          <w:rFonts w:ascii="Arial" w:hAnsi="Arial" w:cs="Arial"/>
          <w:color w:val="000000"/>
          <w:szCs w:val="21"/>
        </w:rPr>
        <w:t>leadership. </w:t>
      </w:r>
      <w:bookmarkStart w:id="0" w:name="_GoBack"/>
      <w:bookmarkEnd w:id="0"/>
    </w:p>
    <w:p w:rsidR="00D72FC1" w:rsidRDefault="00D72FC1" w:rsidP="00D72FC1">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D72FC1" w:rsidRDefault="00D72FC1" w:rsidP="00D72FC1">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D72FC1" w:rsidRDefault="00D72FC1" w:rsidP="00D72FC1">
      <w:pPr>
        <w:numPr>
          <w:ilvl w:val="0"/>
          <w:numId w:val="46"/>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D72FC1" w:rsidRDefault="00D72FC1" w:rsidP="00D72FC1">
      <w:pPr>
        <w:numPr>
          <w:ilvl w:val="0"/>
          <w:numId w:val="46"/>
        </w:numPr>
        <w:spacing w:after="0"/>
        <w:rPr>
          <w:rFonts w:ascii="Arial" w:hAnsi="Arial" w:cs="Arial"/>
          <w:color w:val="000000"/>
          <w:szCs w:val="21"/>
        </w:rPr>
      </w:pPr>
      <w:r>
        <w:rPr>
          <w:rFonts w:ascii="Arial" w:hAnsi="Arial" w:cs="Arial"/>
          <w:color w:val="000000"/>
          <w:szCs w:val="21"/>
        </w:rPr>
        <w:t>Access CPD through our membership of 2 Teaching Alliances, benefitting from accredited leadership development programmes as well as extensive training suitable for all career stages.</w:t>
      </w:r>
    </w:p>
    <w:p w:rsidR="00D72FC1" w:rsidRDefault="00D72FC1" w:rsidP="00D72FC1">
      <w:pPr>
        <w:numPr>
          <w:ilvl w:val="0"/>
          <w:numId w:val="46"/>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D54FDA" w:rsidRDefault="00D54FDA" w:rsidP="00D72FC1">
      <w:pPr>
        <w:rPr>
          <w:rFonts w:ascii="Arial" w:hAnsi="Arial" w:cs="Arial"/>
        </w:rPr>
      </w:pPr>
    </w:p>
    <w:p w:rsidR="00D72FC1" w:rsidRDefault="00D72FC1" w:rsidP="00D72FC1">
      <w:pPr>
        <w:spacing w:after="0"/>
        <w:jc w:val="center"/>
        <w:rPr>
          <w:rFonts w:ascii="Arial" w:hAnsi="Arial" w:cs="Arial"/>
          <w:b/>
        </w:rPr>
      </w:pPr>
      <w:r>
        <w:rPr>
          <w:rFonts w:ascii="Arial" w:hAnsi="Arial" w:cs="Arial"/>
          <w:b/>
        </w:rPr>
        <w:t xml:space="preserve">To find out more about why The </w:t>
      </w:r>
      <w:proofErr w:type="spellStart"/>
      <w:r>
        <w:rPr>
          <w:rFonts w:ascii="Arial" w:hAnsi="Arial" w:cs="Arial"/>
          <w:b/>
        </w:rPr>
        <w:t>Brunts</w:t>
      </w:r>
      <w:proofErr w:type="spellEnd"/>
      <w:r>
        <w:rPr>
          <w:rFonts w:ascii="Arial" w:hAnsi="Arial" w:cs="Arial"/>
          <w:b/>
        </w:rPr>
        <w:t xml:space="preserve">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360EC2" w:rsidRDefault="00360EC2">
      <w:pPr>
        <w:spacing w:after="160" w:line="259" w:lineRule="auto"/>
        <w:rPr>
          <w:rFonts w:eastAsiaTheme="majorEastAsia" w:cstheme="minorHAnsi"/>
          <w:color w:val="267226" w:themeColor="accent1" w:themeShade="BF"/>
          <w:sz w:val="36"/>
        </w:rPr>
      </w:pPr>
    </w:p>
    <w:p w:rsidR="00360EC2" w:rsidRPr="00FB44C8" w:rsidRDefault="00FB44C8" w:rsidP="00360EC2">
      <w:pPr>
        <w:pStyle w:val="Heading1"/>
        <w:rPr>
          <w:rFonts w:ascii="Arial" w:hAnsi="Arial" w:cs="Arial"/>
          <w:sz w:val="36"/>
          <w:szCs w:val="22"/>
        </w:rPr>
      </w:pPr>
      <w:r w:rsidRPr="00FB44C8">
        <w:rPr>
          <w:rFonts w:ascii="Arial" w:hAnsi="Arial" w:cs="Arial"/>
          <w:noProof/>
          <w:color w:val="333333"/>
        </w:rPr>
        <w:lastRenderedPageBreak/>
        <w:drawing>
          <wp:anchor distT="0" distB="0" distL="114300" distR="114300" simplePos="0" relativeHeight="251678720" behindDoc="0" locked="0" layoutInCell="1" allowOverlap="1">
            <wp:simplePos x="0" y="0"/>
            <wp:positionH relativeFrom="margin">
              <wp:align>left</wp:align>
            </wp:positionH>
            <wp:positionV relativeFrom="paragraph">
              <wp:posOffset>9525</wp:posOffset>
            </wp:positionV>
            <wp:extent cx="1200150" cy="1468120"/>
            <wp:effectExtent l="0" t="0" r="0" b="0"/>
            <wp:wrapThrough wrapText="bothSides">
              <wp:wrapPolygon edited="0">
                <wp:start x="0" y="0"/>
                <wp:lineTo x="0" y="21301"/>
                <wp:lineTo x="21257" y="21301"/>
                <wp:lineTo x="21257" y="0"/>
                <wp:lineTo x="0" y="0"/>
              </wp:wrapPolygon>
            </wp:wrapThrough>
            <wp:docPr id="1" name="Picture 1" descr="https://www.evolvetrust.org/images/et_photos/adey1.jpg/rs-150x150a.pagespeed.152035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olvetrust.org/images/et_photos/adey1.jpg/rs-150x150a.pagespeed.152035066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7081" t="666" r="9734" b="22666"/>
                    <a:stretch/>
                  </pic:blipFill>
                  <pic:spPr bwMode="auto">
                    <a:xfrm>
                      <a:off x="0" y="0"/>
                      <a:ext cx="120015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0EC2" w:rsidRPr="00FB44C8">
        <w:rPr>
          <w:rFonts w:ascii="Arial" w:hAnsi="Arial" w:cs="Arial"/>
          <w:sz w:val="36"/>
          <w:szCs w:val="22"/>
        </w:rPr>
        <w:t xml:space="preserve">Message from the </w:t>
      </w:r>
      <w:proofErr w:type="spellStart"/>
      <w:r w:rsidR="00360EC2" w:rsidRPr="00FB44C8">
        <w:rPr>
          <w:rFonts w:ascii="Arial" w:hAnsi="Arial" w:cs="Arial"/>
          <w:sz w:val="36"/>
          <w:szCs w:val="22"/>
        </w:rPr>
        <w:t>Headteacher</w:t>
      </w:r>
      <w:proofErr w:type="spellEnd"/>
    </w:p>
    <w:p w:rsidR="00360EC2" w:rsidRPr="00FB44C8" w:rsidRDefault="00360EC2" w:rsidP="00360EC2">
      <w:pPr>
        <w:pStyle w:val="NoSpacing"/>
        <w:rPr>
          <w:rFonts w:ascii="Arial" w:hAnsi="Arial" w:cs="Arial"/>
        </w:rPr>
      </w:pPr>
    </w:p>
    <w:p w:rsidR="00360EC2" w:rsidRPr="00FB44C8" w:rsidRDefault="00360EC2" w:rsidP="00360EC2">
      <w:pPr>
        <w:pStyle w:val="NoSpacing"/>
        <w:rPr>
          <w:rFonts w:ascii="Arial" w:hAnsi="Arial" w:cs="Arial"/>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Dear Candidate,</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 xml:space="preserve">Thank you for expressing an interest in a vacancy here at The </w:t>
      </w:r>
      <w:proofErr w:type="spellStart"/>
      <w:r w:rsidRPr="00FB44C8">
        <w:rPr>
          <w:rFonts w:ascii="Arial" w:eastAsiaTheme="minorHAnsi" w:hAnsi="Arial" w:cs="Arial"/>
          <w:color w:val="000000"/>
          <w:sz w:val="24"/>
          <w:szCs w:val="24"/>
          <w:lang w:eastAsia="en-US"/>
        </w:rPr>
        <w:t>Brunts</w:t>
      </w:r>
      <w:proofErr w:type="spellEnd"/>
      <w:r w:rsidRPr="00FB44C8">
        <w:rPr>
          <w:rFonts w:ascii="Arial" w:eastAsiaTheme="minorHAnsi" w:hAnsi="Arial" w:cs="Arial"/>
          <w:color w:val="000000"/>
          <w:sz w:val="24"/>
          <w:szCs w:val="24"/>
          <w:lang w:eastAsia="en-US"/>
        </w:rPr>
        <w:t xml:space="preserve"> Academy. We are proud to be part of The Evolve Trust. Our Academies are </w:t>
      </w:r>
      <w:proofErr w:type="spellStart"/>
      <w:r w:rsidRPr="00FB44C8">
        <w:rPr>
          <w:rFonts w:ascii="Arial" w:eastAsiaTheme="minorHAnsi" w:hAnsi="Arial" w:cs="Arial"/>
          <w:color w:val="000000"/>
          <w:sz w:val="24"/>
          <w:szCs w:val="24"/>
          <w:lang w:eastAsia="en-US"/>
        </w:rPr>
        <w:t>Brunts</w:t>
      </w:r>
      <w:proofErr w:type="spellEnd"/>
      <w:r w:rsidRPr="00FB44C8">
        <w:rPr>
          <w:rFonts w:ascii="Arial" w:eastAsiaTheme="minorHAnsi" w:hAnsi="Arial" w:cs="Arial"/>
          <w:color w:val="000000"/>
          <w:sz w:val="24"/>
          <w:szCs w:val="24"/>
          <w:lang w:eastAsia="en-US"/>
        </w:rPr>
        <w:t xml:space="preserve"> (secondary), Beech (secondary – special) and Bramble (primary).</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We are a values-driven organisation with an unwavering commitment “To open minds, creating opportunities for all to believe in themselves, achieve their potential and develop the skills needed to succeed and enjoy life”.</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proofErr w:type="spellStart"/>
      <w:r w:rsidRPr="00FB44C8">
        <w:rPr>
          <w:rFonts w:ascii="Arial" w:eastAsiaTheme="minorHAnsi" w:hAnsi="Arial" w:cs="Arial"/>
          <w:color w:val="000000"/>
          <w:sz w:val="24"/>
          <w:szCs w:val="24"/>
          <w:lang w:eastAsia="en-US"/>
        </w:rPr>
        <w:t>Brunts</w:t>
      </w:r>
      <w:proofErr w:type="spellEnd"/>
      <w:r w:rsidRPr="00FB44C8">
        <w:rPr>
          <w:rFonts w:ascii="Arial" w:eastAsiaTheme="minorHAnsi" w:hAnsi="Arial" w:cs="Arial"/>
          <w:color w:val="000000"/>
          <w:sz w:val="24"/>
          <w:szCs w:val="24"/>
          <w:lang w:eastAsia="en-US"/>
        </w:rPr>
        <w:t xml:space="preserve"> Academy is proud of the success our students have achieved year on year and, through our constant focus on teaching and learning, we will develop our students so that they have the intellectual habits, fundamental core values and qualities of character to succeed in the 21st century.  We will do this by ensuring that:</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develop and nurture the talent and interests of every individual.</w:t>
      </w: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have a scholastically excellent culture built around our core values of Ambition, Integrity, Inclusivity, Endeavour and Resilience.</w:t>
      </w: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deliver a curriculum that allows students to develop their knowledge and skills whilst achieving a range of qualifications.</w:t>
      </w: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provide high quality teaching and learning experiences for all.</w:t>
      </w:r>
    </w:p>
    <w:p w:rsidR="00360EC2" w:rsidRPr="00FB44C8" w:rsidRDefault="00360EC2" w:rsidP="00360EC2">
      <w:pPr>
        <w:pStyle w:val="NoSpacing"/>
        <w:jc w:val="both"/>
        <w:rPr>
          <w:rFonts w:ascii="Arial" w:hAnsi="Arial" w:cs="Arial"/>
        </w:rPr>
      </w:pPr>
    </w:p>
    <w:p w:rsidR="00360EC2" w:rsidRPr="00FB44C8" w:rsidRDefault="00360EC2" w:rsidP="00360EC2">
      <w:pPr>
        <w:pStyle w:val="BasicParagraph"/>
        <w:rPr>
          <w:rFonts w:ascii="Arial" w:hAnsi="Arial" w:cs="Arial"/>
        </w:rPr>
      </w:pPr>
      <w:r w:rsidRPr="00FB44C8">
        <w:rPr>
          <w:rFonts w:ascii="Arial" w:hAnsi="Arial" w:cs="Arial"/>
        </w:rPr>
        <w:t xml:space="preserve">We want everyone to be proud to be associated with The </w:t>
      </w:r>
      <w:proofErr w:type="spellStart"/>
      <w:r w:rsidRPr="00FB44C8">
        <w:rPr>
          <w:rFonts w:ascii="Arial" w:hAnsi="Arial" w:cs="Arial"/>
        </w:rPr>
        <w:t>Brunts</w:t>
      </w:r>
      <w:proofErr w:type="spellEnd"/>
      <w:r w:rsidRPr="00FB44C8">
        <w:rPr>
          <w:rFonts w:ascii="Arial" w:hAnsi="Arial" w:cs="Arial"/>
        </w:rPr>
        <w:t xml:space="preserve"> Academy and The Evolve Trust, due to the high quality experiences and opportunities we provide. Our investment in staff is outstanding. Whatever the post, there is a clear professional development route map and we actively encourage leadership and risk taking at all levels.</w:t>
      </w:r>
    </w:p>
    <w:p w:rsidR="00360EC2" w:rsidRPr="00FB44C8" w:rsidRDefault="00360EC2" w:rsidP="00360EC2">
      <w:pPr>
        <w:pStyle w:val="NoSpacing"/>
        <w:jc w:val="both"/>
        <w:rPr>
          <w:rFonts w:ascii="Arial" w:hAnsi="Arial" w:cs="Arial"/>
        </w:rPr>
      </w:pPr>
    </w:p>
    <w:p w:rsidR="00360EC2" w:rsidRPr="00FB44C8" w:rsidRDefault="00360EC2" w:rsidP="00360EC2">
      <w:pPr>
        <w:pStyle w:val="NoSpacing"/>
        <w:jc w:val="both"/>
        <w:rPr>
          <w:rFonts w:ascii="Arial" w:hAnsi="Arial" w:cs="Arial"/>
        </w:rPr>
      </w:pPr>
      <w:r w:rsidRPr="00FB44C8">
        <w:rPr>
          <w:rFonts w:ascii="Arial" w:eastAsiaTheme="minorHAnsi" w:hAnsi="Arial" w:cs="Arial"/>
          <w:color w:val="000000"/>
          <w:sz w:val="24"/>
          <w:szCs w:val="24"/>
          <w:lang w:eastAsia="en-US"/>
        </w:rPr>
        <w:t>I look forward to welcoming you into our academy.</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With best wishes</w:t>
      </w:r>
    </w:p>
    <w:p w:rsidR="00360EC2" w:rsidRPr="00FB44C8" w:rsidRDefault="00360EC2" w:rsidP="00360EC2">
      <w:pPr>
        <w:spacing w:line="240" w:lineRule="auto"/>
        <w:jc w:val="both"/>
        <w:rPr>
          <w:rFonts w:ascii="Arial" w:hAnsi="Arial" w:cs="Arial"/>
        </w:rPr>
      </w:pPr>
      <w:r w:rsidRPr="00FB44C8">
        <w:rPr>
          <w:rFonts w:ascii="Arial" w:hAnsi="Arial" w:cs="Arial"/>
          <w:noProof/>
        </w:rPr>
        <w:drawing>
          <wp:anchor distT="0" distB="0" distL="114300" distR="114300" simplePos="0" relativeHeight="251677696" behindDoc="1" locked="0" layoutInCell="1" allowOverlap="1" wp14:anchorId="39D07C7B" wp14:editId="0E443D73">
            <wp:simplePos x="0" y="0"/>
            <wp:positionH relativeFrom="margin">
              <wp:align>left</wp:align>
            </wp:positionH>
            <wp:positionV relativeFrom="paragraph">
              <wp:posOffset>67310</wp:posOffset>
            </wp:positionV>
            <wp:extent cx="1505160" cy="4763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M Sig.png"/>
                    <pic:cNvPicPr/>
                  </pic:nvPicPr>
                  <pic:blipFill>
                    <a:blip r:embed="rId14">
                      <a:extLst>
                        <a:ext uri="{28A0092B-C50C-407E-A947-70E740481C1C}">
                          <a14:useLocalDpi xmlns:a14="http://schemas.microsoft.com/office/drawing/2010/main" val="0"/>
                        </a:ext>
                      </a:extLst>
                    </a:blip>
                    <a:stretch>
                      <a:fillRect/>
                    </a:stretch>
                  </pic:blipFill>
                  <pic:spPr>
                    <a:xfrm>
                      <a:off x="0" y="0"/>
                      <a:ext cx="1505160" cy="476316"/>
                    </a:xfrm>
                    <a:prstGeom prst="rect">
                      <a:avLst/>
                    </a:prstGeom>
                  </pic:spPr>
                </pic:pic>
              </a:graphicData>
            </a:graphic>
          </wp:anchor>
        </w:drawing>
      </w:r>
    </w:p>
    <w:p w:rsidR="00360EC2" w:rsidRPr="00FB44C8" w:rsidRDefault="00360EC2" w:rsidP="00360EC2">
      <w:pPr>
        <w:spacing w:line="240" w:lineRule="auto"/>
        <w:rPr>
          <w:rFonts w:ascii="Arial" w:hAnsi="Arial" w:cs="Arial"/>
        </w:rPr>
      </w:pPr>
    </w:p>
    <w:p w:rsidR="00360EC2" w:rsidRPr="00FB44C8" w:rsidRDefault="00360EC2" w:rsidP="00360EC2">
      <w:pPr>
        <w:spacing w:after="0" w:line="240" w:lineRule="auto"/>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Mr A O’Malley</w:t>
      </w:r>
    </w:p>
    <w:p w:rsidR="00360EC2" w:rsidRPr="00FB44C8" w:rsidRDefault="00360EC2" w:rsidP="00360EC2">
      <w:pPr>
        <w:spacing w:after="0" w:line="240" w:lineRule="auto"/>
        <w:rPr>
          <w:rFonts w:ascii="Arial" w:eastAsiaTheme="minorHAnsi" w:hAnsi="Arial" w:cs="Arial"/>
          <w:b/>
          <w:color w:val="000000"/>
          <w:sz w:val="24"/>
          <w:szCs w:val="24"/>
          <w:lang w:eastAsia="en-US"/>
        </w:rPr>
      </w:pPr>
      <w:proofErr w:type="spellStart"/>
      <w:r w:rsidRPr="00FB44C8">
        <w:rPr>
          <w:rFonts w:ascii="Arial" w:eastAsiaTheme="minorHAnsi" w:hAnsi="Arial" w:cs="Arial"/>
          <w:b/>
          <w:color w:val="000000"/>
          <w:sz w:val="24"/>
          <w:szCs w:val="24"/>
          <w:lang w:eastAsia="en-US"/>
        </w:rPr>
        <w:t>Headteacher</w:t>
      </w:r>
      <w:proofErr w:type="spellEnd"/>
    </w:p>
    <w:p w:rsidR="00360EC2" w:rsidRPr="00D0025D" w:rsidRDefault="00360EC2" w:rsidP="00360EC2">
      <w:pPr>
        <w:spacing w:after="160" w:line="240" w:lineRule="auto"/>
        <w:rPr>
          <w:rFonts w:cstheme="minorHAnsi"/>
          <w:b/>
        </w:rPr>
      </w:pPr>
      <w:r w:rsidRPr="00D0025D">
        <w:rPr>
          <w:rFonts w:cstheme="minorHAnsi"/>
          <w:b/>
        </w:rPr>
        <w:br w:type="page"/>
      </w:r>
    </w:p>
    <w:p w:rsidR="00F72EAE" w:rsidRPr="00136F99" w:rsidRDefault="00F72EAE" w:rsidP="00F72EAE">
      <w:pPr>
        <w:spacing w:line="240" w:lineRule="auto"/>
        <w:rPr>
          <w:rFonts w:ascii="Arial" w:hAnsi="Arial" w:cs="Arial"/>
          <w:b/>
          <w:sz w:val="28"/>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F72EAE" w:rsidRPr="00136F99" w:rsidRDefault="00F72EAE" w:rsidP="00F72EAE">
      <w:pPr>
        <w:spacing w:line="240" w:lineRule="auto"/>
        <w:jc w:val="both"/>
        <w:rPr>
          <w:rFonts w:ascii="Arial" w:hAnsi="Arial" w:cs="Arial"/>
          <w:b/>
          <w:sz w:val="24"/>
        </w:rPr>
      </w:pPr>
      <w:r w:rsidRPr="00136F99">
        <w:rPr>
          <w:rFonts w:ascii="Arial" w:hAnsi="Arial" w:cs="Arial"/>
          <w:sz w:val="24"/>
        </w:rPr>
        <w:t xml:space="preserve">Thank you for your interest in the </w:t>
      </w:r>
      <w:r w:rsidR="00A84B27">
        <w:rPr>
          <w:rFonts w:ascii="Arial" w:hAnsi="Arial" w:cs="Arial"/>
          <w:sz w:val="24"/>
        </w:rPr>
        <w:t>Teacher of Chemistry</w:t>
      </w:r>
      <w:r w:rsidR="00FB15E5">
        <w:rPr>
          <w:rFonts w:ascii="Arial" w:hAnsi="Arial" w:cs="Arial"/>
          <w:sz w:val="24"/>
        </w:rPr>
        <w:t xml:space="preserve"> </w:t>
      </w:r>
      <w:r w:rsidR="00A22540">
        <w:rPr>
          <w:rFonts w:ascii="Arial" w:hAnsi="Arial" w:cs="Arial"/>
          <w:sz w:val="24"/>
        </w:rPr>
        <w:t>vacancy</w:t>
      </w:r>
      <w:r w:rsidR="0081623E">
        <w:rPr>
          <w:rFonts w:ascii="Arial" w:hAnsi="Arial" w:cs="Arial"/>
          <w:sz w:val="24"/>
        </w:rPr>
        <w:t xml:space="preserve"> </w:t>
      </w:r>
      <w:r w:rsidRPr="00136F99">
        <w:rPr>
          <w:rFonts w:ascii="Arial" w:hAnsi="Arial" w:cs="Arial"/>
          <w:sz w:val="24"/>
        </w:rPr>
        <w:t xml:space="preserve">at The </w:t>
      </w:r>
      <w:proofErr w:type="spellStart"/>
      <w:r w:rsidRPr="00136F99">
        <w:rPr>
          <w:rFonts w:ascii="Arial" w:hAnsi="Arial" w:cs="Arial"/>
          <w:sz w:val="24"/>
        </w:rPr>
        <w:t>Brunts</w:t>
      </w:r>
      <w:proofErr w:type="spellEnd"/>
      <w:r w:rsidRPr="00136F99">
        <w:rPr>
          <w:rFonts w:ascii="Arial" w:hAnsi="Arial" w:cs="Arial"/>
          <w:sz w:val="24"/>
        </w:rPr>
        <w:t xml:space="preserve">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5" w:history="1">
        <w:r w:rsidRPr="00136F99">
          <w:rPr>
            <w:rStyle w:val="Hyperlink"/>
            <w:rFonts w:ascii="Arial" w:hAnsi="Arial" w:cs="Arial"/>
            <w:sz w:val="24"/>
          </w:rPr>
          <w:t>jobs@evolvetrust.org</w:t>
        </w:r>
      </w:hyperlink>
      <w:proofErr w:type="gramStart"/>
      <w:r w:rsidRPr="00136F99">
        <w:rPr>
          <w:rFonts w:ascii="Arial" w:hAnsi="Arial" w:cs="Arial"/>
          <w:sz w:val="24"/>
        </w:rPr>
        <w:t>.</w:t>
      </w:r>
      <w:proofErr w:type="gramEnd"/>
      <w:r w:rsidRPr="00136F99">
        <w:rPr>
          <w:rFonts w:ascii="Arial" w:hAnsi="Arial" w:cs="Arial"/>
          <w:sz w:val="24"/>
        </w:rPr>
        <w:t xml:space="preserve"> Applications can also be submitted by post, for the attention of the HR Department, to the following address:</w:t>
      </w:r>
    </w:p>
    <w:p w:rsidR="00F72EAE" w:rsidRPr="00136F99" w:rsidRDefault="00F72EAE" w:rsidP="00F72EAE">
      <w:pPr>
        <w:pStyle w:val="NoSpacing"/>
        <w:jc w:val="both"/>
        <w:rPr>
          <w:rFonts w:ascii="Arial" w:hAnsi="Arial" w:cs="Arial"/>
          <w:sz w:val="24"/>
        </w:rPr>
      </w:pPr>
      <w:r w:rsidRPr="00136F99">
        <w:rPr>
          <w:rFonts w:ascii="Arial" w:hAnsi="Arial" w:cs="Arial"/>
          <w:sz w:val="24"/>
        </w:rPr>
        <w:t xml:space="preserve">The </w:t>
      </w:r>
      <w:proofErr w:type="spellStart"/>
      <w:r w:rsidRPr="00136F99">
        <w:rPr>
          <w:rFonts w:ascii="Arial" w:hAnsi="Arial" w:cs="Arial"/>
          <w:sz w:val="24"/>
        </w:rPr>
        <w:t>Brunts</w:t>
      </w:r>
      <w:proofErr w:type="spellEnd"/>
      <w:r w:rsidRPr="00136F99">
        <w:rPr>
          <w:rFonts w:ascii="Arial" w:hAnsi="Arial" w:cs="Arial"/>
          <w:sz w:val="24"/>
        </w:rPr>
        <w:t xml:space="preserve"> Academy</w:t>
      </w:r>
    </w:p>
    <w:p w:rsidR="00F72EAE" w:rsidRPr="00136F99" w:rsidRDefault="00F72EAE" w:rsidP="00F72EAE">
      <w:pPr>
        <w:pStyle w:val="NoSpacing"/>
        <w:jc w:val="both"/>
        <w:rPr>
          <w:rFonts w:ascii="Arial" w:hAnsi="Arial" w:cs="Arial"/>
          <w:sz w:val="24"/>
        </w:rPr>
      </w:pPr>
      <w:r w:rsidRPr="00136F99">
        <w:rPr>
          <w:rFonts w:ascii="Arial" w:hAnsi="Arial" w:cs="Arial"/>
          <w:sz w:val="24"/>
        </w:rPr>
        <w:t>Park Avenue</w:t>
      </w:r>
    </w:p>
    <w:p w:rsidR="00F72EAE" w:rsidRPr="00136F99" w:rsidRDefault="00F72EAE" w:rsidP="00F72EAE">
      <w:pPr>
        <w:pStyle w:val="NoSpacing"/>
        <w:jc w:val="both"/>
        <w:rPr>
          <w:rFonts w:ascii="Arial" w:hAnsi="Arial" w:cs="Arial"/>
          <w:sz w:val="24"/>
        </w:rPr>
      </w:pPr>
      <w:r w:rsidRPr="00136F99">
        <w:rPr>
          <w:rFonts w:ascii="Arial" w:hAnsi="Arial" w:cs="Arial"/>
          <w:sz w:val="24"/>
        </w:rPr>
        <w:t>Mansfield</w:t>
      </w:r>
    </w:p>
    <w:p w:rsidR="00F72EAE" w:rsidRPr="00136F99" w:rsidRDefault="00F72EAE" w:rsidP="00F72EAE">
      <w:pPr>
        <w:pStyle w:val="NoSpacing"/>
        <w:jc w:val="both"/>
        <w:rPr>
          <w:rFonts w:ascii="Arial" w:hAnsi="Arial" w:cs="Arial"/>
          <w:sz w:val="24"/>
        </w:rPr>
      </w:pPr>
      <w:r w:rsidRPr="00136F99">
        <w:rPr>
          <w:rFonts w:ascii="Arial" w:hAnsi="Arial" w:cs="Arial"/>
          <w:sz w:val="24"/>
        </w:rPr>
        <w:t>Nottinghamshire</w:t>
      </w:r>
    </w:p>
    <w:p w:rsidR="00F72EAE" w:rsidRPr="00136F99" w:rsidRDefault="00F72EAE" w:rsidP="00F72EAE">
      <w:pPr>
        <w:pStyle w:val="NoSpacing"/>
        <w:jc w:val="both"/>
        <w:rPr>
          <w:rFonts w:ascii="Arial" w:hAnsi="Arial" w:cs="Arial"/>
          <w:sz w:val="24"/>
        </w:rPr>
      </w:pPr>
      <w:r w:rsidRPr="00136F99">
        <w:rPr>
          <w:rFonts w:ascii="Arial" w:hAnsi="Arial" w:cs="Arial"/>
          <w:sz w:val="24"/>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Default="00F72EAE" w:rsidP="00F72EAE">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6" w:history="1">
        <w:r w:rsidR="00ED1922" w:rsidRPr="003C0456">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sidR="006504DE">
        <w:rPr>
          <w:rFonts w:ascii="Arial" w:hAnsi="Arial" w:cs="Arial"/>
          <w:sz w:val="24"/>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EA5537" w:rsidRPr="00C4635A" w:rsidRDefault="00F72EAE" w:rsidP="00F72EAE">
      <w:pPr>
        <w:spacing w:line="240" w:lineRule="auto"/>
        <w:jc w:val="both"/>
        <w:rPr>
          <w:rFonts w:ascii="Arial" w:hAnsi="Arial" w:cs="Arial"/>
          <w:b/>
          <w:sz w:val="24"/>
        </w:rPr>
      </w:pPr>
      <w:r w:rsidRPr="00136F99">
        <w:rPr>
          <w:rFonts w:ascii="Arial" w:hAnsi="Arial" w:cs="Arial"/>
          <w:sz w:val="24"/>
        </w:rPr>
        <w:t xml:space="preserve">Please ensure your application arrives </w:t>
      </w:r>
      <w:r w:rsidRPr="00C216DA">
        <w:rPr>
          <w:rFonts w:ascii="Arial" w:hAnsi="Arial" w:cs="Arial"/>
          <w:sz w:val="24"/>
        </w:rPr>
        <w:t>by</w:t>
      </w:r>
      <w:r w:rsidR="00A84B27">
        <w:rPr>
          <w:rFonts w:ascii="Arial" w:hAnsi="Arial" w:cs="Arial"/>
          <w:b/>
          <w:sz w:val="24"/>
        </w:rPr>
        <w:t xml:space="preserve"> </w:t>
      </w:r>
      <w:r w:rsidR="00C4635A">
        <w:rPr>
          <w:rFonts w:ascii="Arial" w:hAnsi="Arial" w:cs="Arial"/>
          <w:b/>
          <w:sz w:val="24"/>
        </w:rPr>
        <w:t>12:00pm on</w:t>
      </w:r>
      <w:r w:rsidR="00370286">
        <w:rPr>
          <w:rFonts w:ascii="Arial" w:hAnsi="Arial" w:cs="Arial"/>
          <w:b/>
          <w:sz w:val="24"/>
        </w:rPr>
        <w:t xml:space="preserve"> </w:t>
      </w:r>
      <w:r w:rsidR="00A84B27">
        <w:rPr>
          <w:rFonts w:ascii="Arial" w:hAnsi="Arial" w:cs="Arial"/>
          <w:b/>
          <w:sz w:val="24"/>
        </w:rPr>
        <w:t>21</w:t>
      </w:r>
      <w:r w:rsidR="00A84B27">
        <w:rPr>
          <w:rFonts w:ascii="Arial" w:hAnsi="Arial" w:cs="Arial"/>
          <w:b/>
          <w:sz w:val="24"/>
          <w:vertAlign w:val="superscript"/>
        </w:rPr>
        <w:t xml:space="preserve">st </w:t>
      </w:r>
      <w:r w:rsidR="00370286">
        <w:rPr>
          <w:rFonts w:ascii="Arial" w:hAnsi="Arial" w:cs="Arial"/>
          <w:b/>
          <w:sz w:val="24"/>
        </w:rPr>
        <w:t>September 2019</w:t>
      </w:r>
      <w:r w:rsidR="00C216DA">
        <w:rPr>
          <w:rFonts w:ascii="Arial" w:hAnsi="Arial" w:cs="Arial"/>
          <w:b/>
          <w:sz w:val="24"/>
        </w:rPr>
        <w:t xml:space="preserve">. </w:t>
      </w:r>
    </w:p>
    <w:p w:rsidR="00F72EAE" w:rsidRDefault="00F72EAE" w:rsidP="00F72EAE">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Default="00F72EAE" w:rsidP="006504DE">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C4635A" w:rsidRDefault="00C4635A" w:rsidP="0081623E">
      <w:pPr>
        <w:spacing w:after="0" w:line="240" w:lineRule="auto"/>
        <w:ind w:left="2160" w:hanging="2160"/>
        <w:jc w:val="center"/>
        <w:rPr>
          <w:rFonts w:ascii="Arial" w:hAnsi="Arial" w:cs="Arial"/>
          <w:b/>
          <w:sz w:val="32"/>
        </w:rPr>
      </w:pPr>
    </w:p>
    <w:p w:rsidR="00F72EAE" w:rsidRPr="00C0415D"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lastRenderedPageBreak/>
        <w:t>Job Description</w:t>
      </w:r>
    </w:p>
    <w:p w:rsidR="00F72EAE" w:rsidRPr="00136F99" w:rsidRDefault="00F72EAE" w:rsidP="0081623E">
      <w:pPr>
        <w:pStyle w:val="Default"/>
        <w:rPr>
          <w:rFonts w:ascii="Arial" w:hAnsi="Arial" w:cs="Arial"/>
          <w:b/>
          <w:sz w:val="28"/>
          <w:szCs w:val="28"/>
        </w:rPr>
      </w:pPr>
    </w:p>
    <w:p w:rsidR="00A22540" w:rsidRDefault="00A22540" w:rsidP="00AB1A30">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AB1A30" w:rsidRPr="00AB1A30">
        <w:rPr>
          <w:rFonts w:ascii="Arial" w:eastAsiaTheme="minorHAnsi" w:hAnsi="Arial" w:cs="Arial"/>
          <w:color w:val="000000"/>
        </w:rPr>
        <w:t>Teacher</w:t>
      </w:r>
      <w:r w:rsidR="00A84B27">
        <w:rPr>
          <w:rFonts w:ascii="Arial" w:eastAsiaTheme="minorHAnsi" w:hAnsi="Arial" w:cs="Arial"/>
          <w:color w:val="000000"/>
        </w:rPr>
        <w:t xml:space="preserve"> of Chemistry</w:t>
      </w:r>
    </w:p>
    <w:p w:rsidR="00A22540" w:rsidRDefault="00A22540" w:rsidP="00AB1A30">
      <w:pPr>
        <w:autoSpaceDE w:val="0"/>
        <w:autoSpaceDN w:val="0"/>
        <w:adjustRightInd w:val="0"/>
        <w:spacing w:after="0"/>
        <w:rPr>
          <w:rFonts w:ascii="Arial" w:eastAsiaTheme="minorHAnsi" w:hAnsi="Arial" w:cs="Arial"/>
          <w:color w:val="000000"/>
        </w:rPr>
      </w:pPr>
    </w:p>
    <w:p w:rsidR="00AB1A30" w:rsidRPr="00C7558D" w:rsidRDefault="00A22540" w:rsidP="00C7558D">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00C7558D" w:rsidRPr="00C7558D">
        <w:rPr>
          <w:rFonts w:ascii="Arial" w:hAnsi="Arial" w:cs="Arial"/>
        </w:rPr>
        <w:t>MPS/UPS (£23,720 - £39,406 per annum)</w:t>
      </w:r>
    </w:p>
    <w:p w:rsidR="00A22540"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EF4F6E">
        <w:rPr>
          <w:rFonts w:ascii="Arial" w:eastAsiaTheme="minorHAnsi" w:hAnsi="Arial" w:cs="Arial"/>
          <w:color w:val="000000"/>
        </w:rPr>
        <w:t>195 days</w:t>
      </w:r>
      <w:r w:rsidR="00C31FB5">
        <w:rPr>
          <w:rFonts w:ascii="Arial" w:eastAsiaTheme="minorHAnsi" w:hAnsi="Arial" w:cs="Arial"/>
          <w:color w:val="000000"/>
        </w:rPr>
        <w:t xml:space="preserve"> a year-</w:t>
      </w:r>
      <w:r w:rsidR="00EF4F6E">
        <w:rPr>
          <w:rFonts w:ascii="Arial" w:eastAsiaTheme="minorHAnsi" w:hAnsi="Arial" w:cs="Arial"/>
          <w:color w:val="000000"/>
        </w:rPr>
        <w:t xml:space="preserve"> Full Time </w:t>
      </w:r>
    </w:p>
    <w:p w:rsidR="00A22540" w:rsidRDefault="00A22540" w:rsidP="00AB1A30">
      <w:pPr>
        <w:autoSpaceDE w:val="0"/>
        <w:autoSpaceDN w:val="0"/>
        <w:adjustRightInd w:val="0"/>
        <w:spacing w:after="0"/>
        <w:rPr>
          <w:rFonts w:ascii="Arial" w:eastAsiaTheme="minorHAnsi" w:hAnsi="Arial" w:cs="Arial"/>
          <w:b/>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00AB1A30" w:rsidRPr="00AB1A30">
        <w:rPr>
          <w:rFonts w:ascii="Arial" w:eastAsiaTheme="minorHAnsi" w:hAnsi="Arial" w:cs="Arial"/>
          <w:color w:val="000000"/>
        </w:rPr>
        <w:t>The appropriate Team Leader</w:t>
      </w:r>
    </w:p>
    <w:p w:rsidR="00AB1A30" w:rsidRDefault="00AB1A30" w:rsidP="00AB1A30">
      <w:pPr>
        <w:spacing w:after="0" w:line="240" w:lineRule="auto"/>
        <w:ind w:left="2160" w:hanging="2160"/>
        <w:jc w:val="both"/>
        <w:rPr>
          <w:rFonts w:cstheme="minorHAnsi"/>
          <w:b/>
        </w:rPr>
      </w:pPr>
    </w:p>
    <w:p w:rsidR="00AB1A30" w:rsidRDefault="00AB1A30" w:rsidP="00AB1A30">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AB1A30" w:rsidRPr="00D0025D" w:rsidRDefault="00AB1A30" w:rsidP="00AB1A30">
      <w:pPr>
        <w:spacing w:after="0" w:line="240" w:lineRule="auto"/>
        <w:ind w:left="2160" w:hanging="2160"/>
        <w:jc w:val="both"/>
        <w:rPr>
          <w:rFonts w:cstheme="minorHAnsi"/>
        </w:rPr>
      </w:pPr>
    </w:p>
    <w:p w:rsidR="00AB1A30" w:rsidRDefault="00AB1A30" w:rsidP="00C7558D">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C7558D" w:rsidRPr="00C7558D" w:rsidRDefault="00C7558D" w:rsidP="00C7558D">
      <w:pPr>
        <w:spacing w:after="0" w:line="240" w:lineRule="auto"/>
        <w:ind w:left="2160" w:hanging="2160"/>
        <w:jc w:val="both"/>
        <w:rPr>
          <w:rFonts w:ascii="Arial" w:eastAsiaTheme="minorHAnsi" w:hAnsi="Arial" w:cs="Arial"/>
          <w:color w:val="000000"/>
        </w:rPr>
      </w:pPr>
    </w:p>
    <w:p w:rsidR="00A22540" w:rsidRDefault="00AB1A30" w:rsidP="00AB1A30">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AB1A30" w:rsidRDefault="00AB1A30" w:rsidP="00AB1A30">
      <w:pPr>
        <w:autoSpaceDE w:val="0"/>
        <w:autoSpaceDN w:val="0"/>
        <w:adjustRightInd w:val="0"/>
        <w:spacing w:after="0"/>
        <w:ind w:left="2160" w:hanging="2160"/>
        <w:rPr>
          <w:rFonts w:ascii="Arial" w:eastAsiaTheme="minorHAnsi" w:hAnsi="Arial" w:cs="Arial"/>
          <w:b/>
          <w:bCs/>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AB1A30" w:rsidRDefault="00AB1A30" w:rsidP="00AB1A30">
      <w:pPr>
        <w:spacing w:after="0"/>
        <w:jc w:val="both"/>
        <w:rPr>
          <w:rFonts w:cstheme="minorHAnsi"/>
          <w:b/>
          <w:u w:val="single"/>
        </w:rPr>
      </w:pPr>
    </w:p>
    <w:p w:rsidR="00AB1A30" w:rsidRPr="00BB6A8F" w:rsidRDefault="00AB1A30" w:rsidP="00BB6A8F">
      <w:pPr>
        <w:spacing w:after="0"/>
        <w:rPr>
          <w:rFonts w:ascii="Arial" w:hAnsi="Arial" w:cs="Arial"/>
          <w:b/>
        </w:rPr>
      </w:pPr>
      <w:r w:rsidRPr="00BB6A8F">
        <w:rPr>
          <w:rFonts w:ascii="Arial" w:hAnsi="Arial" w:cs="Arial"/>
          <w:b/>
        </w:rPr>
        <w:t>Purpose:</w:t>
      </w:r>
    </w:p>
    <w:p w:rsidR="00AB1A30" w:rsidRPr="00BB6A8F" w:rsidRDefault="00AB1A30" w:rsidP="00BB6A8F">
      <w:pPr>
        <w:spacing w:after="0" w:line="240" w:lineRule="auto"/>
        <w:ind w:left="66"/>
        <w:jc w:val="both"/>
        <w:rPr>
          <w:rFonts w:ascii="Arial" w:hAnsi="Arial" w:cs="Arial"/>
        </w:rPr>
      </w:pPr>
      <w:r w:rsidRPr="00BB6A8F">
        <w:rPr>
          <w:rFonts w:ascii="Arial" w:hAnsi="Arial" w:cs="Arial"/>
        </w:rPr>
        <w:t xml:space="preserve">To implement an appropriately broad, balanced, relevant and differentiated curriculum for students and to support a designated curriculum area(s) as appropriate.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facilitate and encourage a learning experience which provides students with the opportunity to achieve their individual potential.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students in your teaching groups make expected or better progress.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share and support the school’s responsibility to provide and monitor opportunities for personal and academic growth.</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responsibility for a tutor group to support academic and personal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monitor and support the overall progress and development of students as a teacher and/or Form Tutor</w:t>
      </w:r>
    </w:p>
    <w:p w:rsidR="00AB1A30" w:rsidRPr="00D0025D" w:rsidRDefault="00AB1A30" w:rsidP="00BB6A8F">
      <w:pPr>
        <w:spacing w:after="0"/>
        <w:jc w:val="both"/>
        <w:rPr>
          <w:rFonts w:cstheme="minorHAnsi"/>
        </w:rPr>
      </w:pPr>
      <w:r w:rsidRPr="00D0025D">
        <w:rPr>
          <w:rFonts w:cstheme="minorHAnsi"/>
        </w:rPr>
        <w:tab/>
      </w:r>
    </w:p>
    <w:p w:rsidR="00AB1A30" w:rsidRDefault="00AB1A30" w:rsidP="00BB6A8F">
      <w:pPr>
        <w:spacing w:after="0"/>
        <w:rPr>
          <w:rFonts w:ascii="Arial" w:hAnsi="Arial" w:cs="Arial"/>
          <w:b/>
        </w:rPr>
      </w:pPr>
      <w:r w:rsidRPr="00BB6A8F">
        <w:rPr>
          <w:rFonts w:ascii="Arial" w:hAnsi="Arial" w:cs="Arial"/>
          <w:b/>
        </w:rPr>
        <w:t>Duties:</w:t>
      </w:r>
    </w:p>
    <w:p w:rsidR="00D040CD" w:rsidRPr="00BB6A8F" w:rsidRDefault="00D040CD" w:rsidP="00BB6A8F">
      <w:pPr>
        <w:spacing w:after="0"/>
        <w:rPr>
          <w:rFonts w:ascii="Arial" w:hAnsi="Arial" w:cs="Arial"/>
          <w:b/>
        </w:rPr>
      </w:pPr>
    </w:p>
    <w:p w:rsidR="00AB1A30" w:rsidRPr="00BB6A8F" w:rsidRDefault="00AB1A30" w:rsidP="00BB6A8F">
      <w:pPr>
        <w:spacing w:after="0"/>
        <w:rPr>
          <w:rFonts w:ascii="Arial" w:hAnsi="Arial" w:cs="Arial"/>
          <w:b/>
        </w:rPr>
      </w:pPr>
      <w:r w:rsidRPr="00BB6A8F">
        <w:rPr>
          <w:rFonts w:ascii="Arial" w:hAnsi="Arial" w:cs="Arial"/>
          <w:b/>
        </w:rPr>
        <w:t>Planning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development of appropriate syllabuses, resources, schemes of work, marking policies and teaching strategies in the Curriculum Area.</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Curriculum Area’s development plan and its implementation in order to secure outcomes.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plan and prepare courses and lessons to meet the needs of individuals.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whole school’s planning activities.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Teaching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teach students according to their educational needs, including the setting and marking of work to be carried out by the student in school and elsewhere.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assess, record and report on the attendance, progress, development and attainment of students and to keep such records as are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provide, or contribute to, oral and written assessments, reports and references relating to individual students and groups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To ensure that ICT, Literacy, Numeracy and other cross-curricular imperatives are reflected in the learning experience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a high quality learning experience for students which meets internal and external quality standards.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prepare and update subject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use a variety of delivery methods which will stimulate learning appropriate to student need and the demands of the syllabus.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discipline in accordance with the school’s procedures, and to encourage good practice with regard to punctuality, behaviour, standards of work and homework.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undertake assessment of students as requested by external examination bodies, departmental and school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mark, grade and give written/verbal and diagnostic feedback as required.</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 xml:space="preserve">Curriculum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assist the </w:t>
      </w:r>
      <w:r w:rsidR="00974862">
        <w:rPr>
          <w:rFonts w:ascii="Arial" w:hAnsi="Arial" w:cs="Arial"/>
        </w:rPr>
        <w:t>Subject of Leader</w:t>
      </w:r>
      <w:r w:rsidRPr="00BB6A8F">
        <w:rPr>
          <w:rFonts w:ascii="Arial" w:hAnsi="Arial" w:cs="Arial"/>
        </w:rPr>
        <w:t xml:space="preserve"> in ensuring that the curriculum area provides a range of teaching which complements the school’s strategic objectives.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process of curriculum development and change so as to ensure the continued relevance to the needs of students, examining and awarding bodies and the school’s aims and objectives.</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Staff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the school’s staff development programme by participating in arrangements for further training and professional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continue personal development in the relevant areas including subject knowledge and teaching methods.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engage actively in the Performance Management Review process.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the effective and efficient deployment of classroom support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work as a member of a designated team and to contribute positively to effective working relations within the school.</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Quality Assurance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implement school quality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review from time to time methods of teaching and programmes of 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as may be required, in the review, development and management of activities relating to the curriculum, organisation and support and guidance functions of the school.</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Monitoring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appropriate records and to provide relevant accurate and up-to-date information for attendance and monitoring systems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complete the relevant documentation to assist in the tracking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track student progress and use information to inform the next steps in teaching and learning to accelerate the rates of progress and tackle under achievement. </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Communications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effectively with the parents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Where appropriate, to communicate and co-operate with persons or bodies outside the school.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follow agreed policies for communications in the school.</w:t>
      </w:r>
    </w:p>
    <w:p w:rsidR="00AB1A30" w:rsidRPr="00D0025D" w:rsidRDefault="00AB1A30" w:rsidP="00BB6A8F">
      <w:pPr>
        <w:spacing w:after="0"/>
        <w:jc w:val="both"/>
        <w:rPr>
          <w:rFonts w:cstheme="minorHAnsi"/>
          <w:b/>
        </w:rPr>
      </w:pPr>
    </w:p>
    <w:p w:rsidR="00AB1A30" w:rsidRPr="00D0025D" w:rsidRDefault="00AB1A30" w:rsidP="00BB6A8F">
      <w:pPr>
        <w:spacing w:after="0"/>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Liaison</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activities such as Open Evenings, Parents Evenings, Review days and liaison events with partner schools.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development of effective subject links with external agencies.</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the ordering and allocation of equipment and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the Learning Manager to identify resource needs and to contribute to the efficient/effective use of physical 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co-operate with other staff to ensure a sharing and effective usage of resources to the benefit of the School, department and the students.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Support and Guidance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be a Form Tutor to an assigned group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the general progress and well-being of individual students and of the Tutor Group as a whole.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liaise with appropriate staff to ensure the implementation of the school’s support and guidance system.</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register students, accompany them to assemblies, encourage their full attendance at all lessons and their participation in other aspects of school life.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evaluate and monitor the progress of students and keep up-to-date student records as may be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as appropriate, with the parents of students and with persons or bodies outside the school concerned with the welfare of individual students, after consultation with the appropriate  staff</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PSHE, citizenship and enterprise schemes according to school policy</w:t>
      </w:r>
    </w:p>
    <w:p w:rsidR="00AB1A30" w:rsidRPr="00D0025D" w:rsidRDefault="00AB1A30" w:rsidP="00BB6A8F">
      <w:pPr>
        <w:pStyle w:val="ListParagraph"/>
        <w:spacing w:after="0" w:line="240" w:lineRule="auto"/>
        <w:ind w:left="426"/>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Other Specific Duties: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play a full part in the life of the school community, to support its aims and objectives and to encourage staff and students to follow this example.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support the school in meeting its legal requirements for worship.</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actively the school’s corporate policies and ensure compliance.</w:t>
      </w:r>
    </w:p>
    <w:p w:rsidR="00A22540" w:rsidRPr="00BF5942" w:rsidRDefault="00A22540" w:rsidP="00BB6A8F">
      <w:pPr>
        <w:autoSpaceDE w:val="0"/>
        <w:autoSpaceDN w:val="0"/>
        <w:adjustRightInd w:val="0"/>
        <w:spacing w:after="0"/>
        <w:rPr>
          <w:rFonts w:ascii="Arial" w:eastAsiaTheme="minorHAnsi" w:hAnsi="Arial" w:cs="Arial"/>
          <w:color w:val="000000"/>
        </w:rPr>
      </w:pPr>
    </w:p>
    <w:p w:rsidR="00BE44EF" w:rsidRDefault="00BE44EF" w:rsidP="00BB6A8F">
      <w:pPr>
        <w:spacing w:after="0"/>
        <w:rPr>
          <w:rFonts w:ascii="Arial" w:hAnsi="Arial" w:cs="Arial"/>
          <w:b/>
        </w:rPr>
      </w:pPr>
      <w:r w:rsidRPr="00BE44EF">
        <w:rPr>
          <w:rFonts w:ascii="Arial" w:hAnsi="Arial" w:cs="Arial"/>
          <w:b/>
        </w:rPr>
        <w:t>General:</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Flexible working approach to accommodate day-to-day operational matters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Be aware of the General Data Protection Regulations (GDPR) and other legislation to ensure confidentially of records and information.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take a shared responsibility for First Aid</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Responsibility for the safeguarding and promoting the welfare of children.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play a full part in the life of the community, to support its aims and objectives and to encourage staff and children to follow this example.</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promote actively the Academy’s corporate policies and ensure compliance.</w:t>
      </w:r>
    </w:p>
    <w:p w:rsidR="00BE44EF" w:rsidRPr="00BE44EF" w:rsidRDefault="00BE44EF" w:rsidP="00BB6A8F">
      <w:pPr>
        <w:spacing w:after="0"/>
        <w:ind w:left="644"/>
        <w:rPr>
          <w:rFonts w:ascii="Arial" w:hAnsi="Arial" w:cs="Arial"/>
          <w:b/>
          <w:color w:val="000000"/>
        </w:rPr>
      </w:pPr>
    </w:p>
    <w:p w:rsidR="00BE44EF" w:rsidRDefault="00BE44EF" w:rsidP="00BB6A8F">
      <w:pPr>
        <w:spacing w:after="0"/>
        <w:jc w:val="both"/>
        <w:rPr>
          <w:rFonts w:ascii="Arial" w:hAnsi="Arial" w:cs="Arial"/>
          <w:b/>
        </w:rPr>
      </w:pPr>
      <w:r w:rsidRPr="00BE44EF">
        <w:rPr>
          <w:rFonts w:ascii="Arial" w:hAnsi="Arial" w:cs="Arial"/>
          <w:b/>
        </w:rPr>
        <w:t>Safeguarding:</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This post is subject to an enhanced Disclosure and Barring Service check.</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lastRenderedPageBreak/>
        <w:t xml:space="preserve">The post holder must be committed to safeguarding the welfare of children and to providing equality of opportunity. </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Record and report concerns following the Trust Safeguarding policy.</w:t>
      </w:r>
    </w:p>
    <w:p w:rsidR="00BB6A8F" w:rsidRPr="00BB6A8F" w:rsidRDefault="00BE44EF" w:rsidP="006D5BC8">
      <w:pPr>
        <w:numPr>
          <w:ilvl w:val="0"/>
          <w:numId w:val="13"/>
        </w:numPr>
        <w:tabs>
          <w:tab w:val="clear" w:pos="360"/>
        </w:tabs>
        <w:spacing w:after="160" w:line="259" w:lineRule="auto"/>
        <w:ind w:left="426"/>
        <w:jc w:val="both"/>
        <w:rPr>
          <w:rFonts w:ascii="Arial" w:hAnsi="Arial" w:cs="Arial"/>
          <w:b/>
        </w:rPr>
      </w:pPr>
      <w:r w:rsidRPr="00BB6A8F">
        <w:rPr>
          <w:rFonts w:ascii="Arial" w:hAnsi="Arial" w:cs="Arial"/>
        </w:rPr>
        <w:t>Complete safeguarding level 1 training at least once every three years.</w:t>
      </w:r>
    </w:p>
    <w:p w:rsidR="00BE44EF" w:rsidRPr="00BB6A8F" w:rsidRDefault="00BE44EF" w:rsidP="00BB6A8F">
      <w:pPr>
        <w:spacing w:after="0"/>
        <w:rPr>
          <w:rFonts w:ascii="Arial" w:hAnsi="Arial" w:cs="Arial"/>
          <w:b/>
          <w:color w:val="000000"/>
        </w:rPr>
      </w:pPr>
      <w:r w:rsidRPr="00BB6A8F">
        <w:rPr>
          <w:rFonts w:ascii="Arial" w:hAnsi="Arial" w:cs="Arial"/>
          <w:b/>
          <w:color w:val="000000"/>
        </w:rPr>
        <w:t>Health and Safety:</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Be aware of the responsibility for personal health, safety and welfare and that of others who may be affected by your actions or inactions.</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Co-operate with the employer on all issues to do with Health, Safety and Welfare.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Ensure all aspects of Health and Safety are rigorously addressed across your department inclusive but not limited to:</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 xml:space="preserve">Reporting damaged, broken or missing equipment/property to an appropriate person i.e. departmental link, site team, </w:t>
      </w:r>
      <w:proofErr w:type="spellStart"/>
      <w:r w:rsidRPr="00905C9D">
        <w:rPr>
          <w:rFonts w:ascii="Arial" w:hAnsi="Arial" w:cs="Arial"/>
        </w:rPr>
        <w:t>headteacher</w:t>
      </w:r>
      <w:proofErr w:type="spellEnd"/>
      <w:r w:rsidRPr="00905C9D">
        <w:rPr>
          <w:rFonts w:ascii="Arial" w:hAnsi="Arial" w:cs="Arial"/>
        </w:rPr>
        <w:t xml:space="preserve"> etc.</w:t>
      </w:r>
    </w:p>
    <w:p w:rsidR="00BE44EF" w:rsidRPr="00BE44EF" w:rsidRDefault="00BE44EF" w:rsidP="00A22540">
      <w:pPr>
        <w:spacing w:after="0"/>
        <w:jc w:val="both"/>
        <w:rPr>
          <w:rFonts w:ascii="Arial" w:hAnsi="Arial" w:cs="Arial"/>
        </w:rPr>
      </w:pPr>
    </w:p>
    <w:p w:rsidR="00BE44EF" w:rsidRDefault="00BE44EF" w:rsidP="00A22540">
      <w:pPr>
        <w:spacing w:after="0"/>
        <w:jc w:val="both"/>
        <w:rPr>
          <w:rFonts w:ascii="Arial" w:hAnsi="Arial" w:cs="Arial"/>
          <w:b/>
        </w:rPr>
      </w:pPr>
      <w:r w:rsidRPr="00BE44EF">
        <w:rPr>
          <w:rFonts w:ascii="Arial" w:hAnsi="Arial" w:cs="Arial"/>
          <w:b/>
        </w:rPr>
        <w:t>Continuing Prof</w:t>
      </w:r>
      <w:r w:rsidR="00905C9D">
        <w:rPr>
          <w:rFonts w:ascii="Arial" w:hAnsi="Arial" w:cs="Arial"/>
          <w:b/>
        </w:rPr>
        <w:t>essional Development:</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To participate in the Trusts Performance Management Scheme.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Undertake any professional development necessary as identified.</w:t>
      </w:r>
    </w:p>
    <w:p w:rsidR="00BE44EF" w:rsidRPr="00BE44EF" w:rsidRDefault="00BE44EF" w:rsidP="00FB44C8">
      <w:pPr>
        <w:spacing w:after="0" w:line="240" w:lineRule="auto"/>
        <w:ind w:left="426"/>
        <w:jc w:val="both"/>
        <w:rPr>
          <w:rFonts w:ascii="Arial" w:hAnsi="Arial" w:cs="Arial"/>
        </w:rPr>
      </w:pPr>
    </w:p>
    <w:p w:rsidR="00BE44EF" w:rsidRPr="00BE44EF" w:rsidRDefault="00BE44EF" w:rsidP="00A22540">
      <w:pPr>
        <w:spacing w:after="0"/>
        <w:jc w:val="both"/>
        <w:rPr>
          <w:rFonts w:ascii="Arial" w:hAnsi="Arial" w:cs="Arial"/>
          <w:b/>
          <w:bCs/>
        </w:rPr>
      </w:pPr>
      <w:r w:rsidRPr="00BE44EF">
        <w:rPr>
          <w:rFonts w:ascii="Arial" w:hAnsi="Arial" w:cs="Arial"/>
          <w:b/>
          <w:bCs/>
        </w:rPr>
        <w:t>Additional points:</w:t>
      </w:r>
    </w:p>
    <w:p w:rsidR="00BE44EF" w:rsidRPr="00BE44EF" w:rsidRDefault="00BE44EF" w:rsidP="00A22540">
      <w:pPr>
        <w:spacing w:after="0"/>
        <w:jc w:val="both"/>
        <w:rPr>
          <w:rFonts w:ascii="Arial" w:hAnsi="Arial" w:cs="Arial"/>
          <w:b/>
          <w:bCs/>
        </w:rPr>
      </w:pPr>
    </w:p>
    <w:p w:rsidR="00BE44EF" w:rsidRPr="00BE44EF" w:rsidRDefault="00BE44EF" w:rsidP="00A22540">
      <w:pPr>
        <w:spacing w:after="0"/>
        <w:jc w:val="both"/>
        <w:rPr>
          <w:rFonts w:ascii="Arial" w:hAnsi="Arial" w:cs="Arial"/>
        </w:rPr>
      </w:pPr>
      <w:r w:rsidRPr="00BE44EF">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Whilst every effort has been made to explain the main duties and responsibilities of the post, each individual task undertaken may not be identified as no job description can be fully comprehensive.</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 xml:space="preserve">The job description may be subject to amendment or modification, should circumstances change, </w:t>
      </w:r>
      <w:proofErr w:type="gramStart"/>
      <w:r w:rsidRPr="00BE44EF">
        <w:rPr>
          <w:rFonts w:ascii="Arial" w:hAnsi="Arial" w:cs="Arial"/>
        </w:rPr>
        <w:t>any</w:t>
      </w:r>
      <w:proofErr w:type="gramEnd"/>
      <w:r w:rsidRPr="00BE44EF">
        <w:rPr>
          <w:rFonts w:ascii="Arial" w:hAnsi="Arial" w:cs="Arial"/>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The job description does not form part of the contract of employment.</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This job description allocates duties and responsibilities but does not direct the particular amount of time to be spent on any or all of them.</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p>
    <w:p w:rsidR="00BE44EF" w:rsidRPr="00BE44EF" w:rsidRDefault="00BE44EF" w:rsidP="00A22540">
      <w:pPr>
        <w:spacing w:after="0"/>
        <w:jc w:val="both"/>
      </w:pPr>
    </w:p>
    <w:p w:rsidR="00BE44EF" w:rsidRPr="00BE44EF" w:rsidRDefault="00BE44EF" w:rsidP="00A22540">
      <w:pPr>
        <w:spacing w:after="0"/>
        <w:jc w:val="both"/>
      </w:pPr>
    </w:p>
    <w:p w:rsidR="00BE44EF" w:rsidRPr="00905C9D" w:rsidRDefault="00BE44EF" w:rsidP="00FB44C8">
      <w:pPr>
        <w:spacing w:after="0"/>
        <w:jc w:val="both"/>
        <w:rPr>
          <w:rFonts w:ascii="Arial" w:hAnsi="Arial" w:cs="Arial"/>
        </w:rPr>
      </w:pPr>
    </w:p>
    <w:sectPr w:rsidR="00BE44EF" w:rsidRPr="00905C9D" w:rsidSect="000147AA">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7F" w:rsidRDefault="001C407F" w:rsidP="000147AA">
      <w:pPr>
        <w:spacing w:after="0" w:line="240" w:lineRule="auto"/>
      </w:pPr>
      <w:r>
        <w:separator/>
      </w:r>
    </w:p>
  </w:endnote>
  <w:endnote w:type="continuationSeparator" w:id="0">
    <w:p w:rsidR="001C407F" w:rsidRDefault="001C407F"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7F" w:rsidRDefault="001C407F" w:rsidP="000147AA">
      <w:pPr>
        <w:spacing w:after="0" w:line="240" w:lineRule="auto"/>
      </w:pPr>
      <w:r>
        <w:separator/>
      </w:r>
    </w:p>
  </w:footnote>
  <w:footnote w:type="continuationSeparator" w:id="0">
    <w:p w:rsidR="001C407F" w:rsidRDefault="001C407F"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822"/>
    <w:multiLevelType w:val="hybridMultilevel"/>
    <w:tmpl w:val="1D5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42"/>
    <w:multiLevelType w:val="hybridMultilevel"/>
    <w:tmpl w:val="A860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E41F8"/>
    <w:multiLevelType w:val="hybridMultilevel"/>
    <w:tmpl w:val="37CE27CA"/>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4F35207"/>
    <w:multiLevelType w:val="hybridMultilevel"/>
    <w:tmpl w:val="5930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56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D7626"/>
    <w:multiLevelType w:val="hybridMultilevel"/>
    <w:tmpl w:val="13A2723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FC6281"/>
    <w:multiLevelType w:val="hybridMultilevel"/>
    <w:tmpl w:val="538A3F3C"/>
    <w:lvl w:ilvl="0" w:tplc="AD32055E">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8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D3420"/>
    <w:multiLevelType w:val="hybridMultilevel"/>
    <w:tmpl w:val="C090D93E"/>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B4560"/>
    <w:multiLevelType w:val="hybridMultilevel"/>
    <w:tmpl w:val="5C802272"/>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60125"/>
    <w:multiLevelType w:val="hybridMultilevel"/>
    <w:tmpl w:val="64F6A6AE"/>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5"/>
  </w:num>
  <w:num w:numId="4">
    <w:abstractNumId w:val="38"/>
  </w:num>
  <w:num w:numId="5">
    <w:abstractNumId w:val="26"/>
  </w:num>
  <w:num w:numId="6">
    <w:abstractNumId w:val="21"/>
  </w:num>
  <w:num w:numId="7">
    <w:abstractNumId w:val="30"/>
  </w:num>
  <w:num w:numId="8">
    <w:abstractNumId w:val="2"/>
  </w:num>
  <w:num w:numId="9">
    <w:abstractNumId w:val="36"/>
  </w:num>
  <w:num w:numId="10">
    <w:abstractNumId w:val="42"/>
  </w:num>
  <w:num w:numId="11">
    <w:abstractNumId w:val="35"/>
  </w:num>
  <w:num w:numId="12">
    <w:abstractNumId w:val="23"/>
  </w:num>
  <w:num w:numId="13">
    <w:abstractNumId w:val="19"/>
  </w:num>
  <w:num w:numId="14">
    <w:abstractNumId w:val="21"/>
  </w:num>
  <w:num w:numId="15">
    <w:abstractNumId w:val="38"/>
  </w:num>
  <w:num w:numId="16">
    <w:abstractNumId w:val="5"/>
  </w:num>
  <w:num w:numId="17">
    <w:abstractNumId w:val="41"/>
  </w:num>
  <w:num w:numId="18">
    <w:abstractNumId w:val="40"/>
  </w:num>
  <w:num w:numId="19">
    <w:abstractNumId w:val="19"/>
  </w:num>
  <w:num w:numId="20">
    <w:abstractNumId w:val="4"/>
  </w:num>
  <w:num w:numId="21">
    <w:abstractNumId w:val="20"/>
  </w:num>
  <w:num w:numId="22">
    <w:abstractNumId w:val="22"/>
  </w:num>
  <w:num w:numId="23">
    <w:abstractNumId w:val="31"/>
  </w:num>
  <w:num w:numId="24">
    <w:abstractNumId w:val="24"/>
  </w:num>
  <w:num w:numId="25">
    <w:abstractNumId w:val="14"/>
  </w:num>
  <w:num w:numId="26">
    <w:abstractNumId w:val="16"/>
  </w:num>
  <w:num w:numId="27">
    <w:abstractNumId w:val="10"/>
  </w:num>
  <w:num w:numId="28">
    <w:abstractNumId w:val="1"/>
  </w:num>
  <w:num w:numId="29">
    <w:abstractNumId w:val="13"/>
  </w:num>
  <w:num w:numId="30">
    <w:abstractNumId w:val="27"/>
  </w:num>
  <w:num w:numId="31">
    <w:abstractNumId w:val="34"/>
  </w:num>
  <w:num w:numId="32">
    <w:abstractNumId w:val="7"/>
  </w:num>
  <w:num w:numId="33">
    <w:abstractNumId w:val="15"/>
  </w:num>
  <w:num w:numId="34">
    <w:abstractNumId w:val="39"/>
  </w:num>
  <w:num w:numId="35">
    <w:abstractNumId w:val="18"/>
  </w:num>
  <w:num w:numId="36">
    <w:abstractNumId w:val="32"/>
  </w:num>
  <w:num w:numId="37">
    <w:abstractNumId w:val="0"/>
  </w:num>
  <w:num w:numId="38">
    <w:abstractNumId w:val="6"/>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3"/>
  </w:num>
  <w:num w:numId="43">
    <w:abstractNumId w:val="29"/>
  </w:num>
  <w:num w:numId="44">
    <w:abstractNumId w:val="28"/>
  </w:num>
  <w:num w:numId="45">
    <w:abstractNumId w:val="1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B1E9D"/>
    <w:rsid w:val="000B66FB"/>
    <w:rsid w:val="000B6AB8"/>
    <w:rsid w:val="000D284D"/>
    <w:rsid w:val="000D5CC1"/>
    <w:rsid w:val="001339BF"/>
    <w:rsid w:val="0018435B"/>
    <w:rsid w:val="001977EF"/>
    <w:rsid w:val="001A19C7"/>
    <w:rsid w:val="001A47BE"/>
    <w:rsid w:val="001A642A"/>
    <w:rsid w:val="001C407F"/>
    <w:rsid w:val="001E1B17"/>
    <w:rsid w:val="00234657"/>
    <w:rsid w:val="00291F0C"/>
    <w:rsid w:val="002D1DFA"/>
    <w:rsid w:val="00306713"/>
    <w:rsid w:val="00360EC2"/>
    <w:rsid w:val="00370286"/>
    <w:rsid w:val="003843E2"/>
    <w:rsid w:val="003A3B46"/>
    <w:rsid w:val="003B1D76"/>
    <w:rsid w:val="003C3D39"/>
    <w:rsid w:val="003F5434"/>
    <w:rsid w:val="00431037"/>
    <w:rsid w:val="00445AAF"/>
    <w:rsid w:val="00446E06"/>
    <w:rsid w:val="004C3E22"/>
    <w:rsid w:val="004C5496"/>
    <w:rsid w:val="004F4196"/>
    <w:rsid w:val="00553972"/>
    <w:rsid w:val="00581BE2"/>
    <w:rsid w:val="005A2418"/>
    <w:rsid w:val="005A2B72"/>
    <w:rsid w:val="005F1DB6"/>
    <w:rsid w:val="00621E5C"/>
    <w:rsid w:val="006504DE"/>
    <w:rsid w:val="00664ED4"/>
    <w:rsid w:val="006B3242"/>
    <w:rsid w:val="006C7F64"/>
    <w:rsid w:val="006E58D0"/>
    <w:rsid w:val="00811F3F"/>
    <w:rsid w:val="00812E00"/>
    <w:rsid w:val="00815CF3"/>
    <w:rsid w:val="0081623E"/>
    <w:rsid w:val="0083521B"/>
    <w:rsid w:val="00835CBE"/>
    <w:rsid w:val="00855AB9"/>
    <w:rsid w:val="008916BE"/>
    <w:rsid w:val="008929CE"/>
    <w:rsid w:val="008A44A7"/>
    <w:rsid w:val="008C4919"/>
    <w:rsid w:val="008C6F44"/>
    <w:rsid w:val="008D5379"/>
    <w:rsid w:val="008F01CE"/>
    <w:rsid w:val="008F540D"/>
    <w:rsid w:val="00905C9D"/>
    <w:rsid w:val="0091558B"/>
    <w:rsid w:val="009222AC"/>
    <w:rsid w:val="009541B7"/>
    <w:rsid w:val="0096370B"/>
    <w:rsid w:val="00964D94"/>
    <w:rsid w:val="00970AAC"/>
    <w:rsid w:val="00973AC7"/>
    <w:rsid w:val="00974862"/>
    <w:rsid w:val="00992771"/>
    <w:rsid w:val="009E21F5"/>
    <w:rsid w:val="00A22540"/>
    <w:rsid w:val="00A427B6"/>
    <w:rsid w:val="00A5014E"/>
    <w:rsid w:val="00A53719"/>
    <w:rsid w:val="00A84B27"/>
    <w:rsid w:val="00A966AF"/>
    <w:rsid w:val="00AA0EC7"/>
    <w:rsid w:val="00AB1A30"/>
    <w:rsid w:val="00AE03C2"/>
    <w:rsid w:val="00AE33F9"/>
    <w:rsid w:val="00B2238E"/>
    <w:rsid w:val="00B254E1"/>
    <w:rsid w:val="00B45A31"/>
    <w:rsid w:val="00BB6A8F"/>
    <w:rsid w:val="00BD6A7D"/>
    <w:rsid w:val="00BE44EF"/>
    <w:rsid w:val="00BF236E"/>
    <w:rsid w:val="00BF6117"/>
    <w:rsid w:val="00C03828"/>
    <w:rsid w:val="00C0415D"/>
    <w:rsid w:val="00C16708"/>
    <w:rsid w:val="00C216DA"/>
    <w:rsid w:val="00C301AD"/>
    <w:rsid w:val="00C31FB5"/>
    <w:rsid w:val="00C3567D"/>
    <w:rsid w:val="00C4635A"/>
    <w:rsid w:val="00C63A91"/>
    <w:rsid w:val="00C7558D"/>
    <w:rsid w:val="00C8769C"/>
    <w:rsid w:val="00CC0C69"/>
    <w:rsid w:val="00CC3067"/>
    <w:rsid w:val="00CC3C21"/>
    <w:rsid w:val="00CF234E"/>
    <w:rsid w:val="00D040CD"/>
    <w:rsid w:val="00D07B64"/>
    <w:rsid w:val="00D117E7"/>
    <w:rsid w:val="00D2379A"/>
    <w:rsid w:val="00D37AC9"/>
    <w:rsid w:val="00D4634D"/>
    <w:rsid w:val="00D54FDA"/>
    <w:rsid w:val="00D72FC1"/>
    <w:rsid w:val="00DB3CA0"/>
    <w:rsid w:val="00DC4DA8"/>
    <w:rsid w:val="00DD3C14"/>
    <w:rsid w:val="00E04A31"/>
    <w:rsid w:val="00E4064D"/>
    <w:rsid w:val="00E40F98"/>
    <w:rsid w:val="00E72826"/>
    <w:rsid w:val="00E72F1B"/>
    <w:rsid w:val="00E7354D"/>
    <w:rsid w:val="00E75EFB"/>
    <w:rsid w:val="00E95604"/>
    <w:rsid w:val="00E960E4"/>
    <w:rsid w:val="00EA5537"/>
    <w:rsid w:val="00EB00F1"/>
    <w:rsid w:val="00EC7D4D"/>
    <w:rsid w:val="00ED1922"/>
    <w:rsid w:val="00EF4F6E"/>
    <w:rsid w:val="00F340DF"/>
    <w:rsid w:val="00F72EAE"/>
    <w:rsid w:val="00F74920"/>
    <w:rsid w:val="00F768C7"/>
    <w:rsid w:val="00FB15E5"/>
    <w:rsid w:val="00FB44C8"/>
    <w:rsid w:val="00FE730F"/>
    <w:rsid w:val="00FF043E"/>
    <w:rsid w:val="00FF0959"/>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B3185"/>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volvetru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jobs@evolvetrust.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6</cp:revision>
  <cp:lastPrinted>2018-05-01T14:06:00Z</cp:lastPrinted>
  <dcterms:created xsi:type="dcterms:W3CDTF">2019-09-06T09:03:00Z</dcterms:created>
  <dcterms:modified xsi:type="dcterms:W3CDTF">2019-09-09T07:21:00Z</dcterms:modified>
</cp:coreProperties>
</file>