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9.0" w:type="dxa"/>
        <w:jc w:val="left"/>
        <w:tblInd w:w="0.0" w:type="dxa"/>
        <w:tblBorders>
          <w:top w:color="d34817" w:space="0" w:sz="6" w:val="single"/>
          <w:left w:color="d34817" w:space="0" w:sz="6" w:val="single"/>
          <w:bottom w:color="d34817" w:space="0" w:sz="6" w:val="single"/>
          <w:right w:color="d34817" w:space="0" w:sz="6" w:val="single"/>
          <w:insideH w:color="d34817" w:space="0" w:sz="6" w:val="single"/>
          <w:insideV w:color="d34817" w:space="0" w:sz="6" w:val="single"/>
        </w:tblBorders>
        <w:tblLayout w:type="fixed"/>
        <w:tblLook w:val="0400"/>
      </w:tblPr>
      <w:tblGrid>
        <w:gridCol w:w="2479"/>
        <w:gridCol w:w="4467"/>
        <w:gridCol w:w="1724"/>
        <w:gridCol w:w="1509"/>
        <w:tblGridChange w:id="0">
          <w:tblGrid>
            <w:gridCol w:w="2479"/>
            <w:gridCol w:w="4467"/>
            <w:gridCol w:w="1724"/>
            <w:gridCol w:w="1509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3">
            <w:pPr>
              <w:spacing w:after="40" w:before="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2ic SUBJECT TEACHER JOB 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ACCOUNTABLE TO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Head of Department and through him/her to a designated Head of Faculty, Deputy/Assistant Head and the Head of School/Executive Head Teacher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DURATION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JOB PURPOSE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ensure the standards of teaching achieves the school target of 85% good or better teaching.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ensure progress and attainment of students meet the school targets.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deputise for the Head of Department in the event of absence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lead on departmental strategies as identified by the Head of Department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Key Area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Responsibility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Responsibilities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Carry out all duties and responsibilities in accordance with School policies and procedures and statutory requirements.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Maintain high standards of teaching and learning within your classes, ensuring effective tracking and monitoring takes place at all times.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contribute to the needs of the department as outlined by the Head of Department.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Areas of Accountability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Through effective teaching and learning students achieve their best possible outcomes, ensuring their progress and attainment reaches or exceeds expected levels.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ensure the Department budget and resources are effectively managed.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Professional development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Keeping up to date with national requirements with regard to t &amp; l (DfE / Ofsted guidance).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Pedagogic research and development to improve the standard of teaching.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Lead and participate in further training and professional development including those aimed at meeting the need identified in performance objectives or in performance statements.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Discipline, health and safety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Maintain good order and discipline and safeguard the health and safety among students both within the classroom, school premises and when they are engaged in authorised school activities elsewhere.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work in accordance with the guidelines set out in the school Health and safety policy and specific faculty areas.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Examinations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Participate in arrangements for preparing students for external/internal examinations, in assessing students for the purpose of such examinations.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General Responsibilities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Promote the school’s values and ethos in accordance with the School’s Professional Code.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Work actively to develop professional expertise by participating in ongoing professional development.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Review of job description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This job description is intended to provide guidance on the range of duties associated with the post. It is not intended to provide a full and exclusive definition of the post and the post holder may be required to undertake additional duties by the Head of School/Executive Head Teacher. It may be subject to modification and amendment at any time after consultation with the post holder.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Signed member of staff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Signed appraiser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Approved Head of School/Executive Head Teacher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ind w:firstLine="28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 w:orient="portrait"/>
      <w:pgMar w:bottom="720" w:top="2268" w:left="720" w:right="991" w:header="1757" w:footer="10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8890</wp:posOffset>
          </wp:positionH>
          <wp:positionV relativeFrom="paragraph">
            <wp:posOffset>-230240</wp:posOffset>
          </wp:positionV>
          <wp:extent cx="6637020" cy="835660"/>
          <wp:effectExtent b="0" l="0" r="0" t="0"/>
          <wp:wrapNone/>
          <wp:docPr descr="V:\Short\Short\Headed Paper\Burgandy Footer 2018.png" id="5" name="image1.png"/>
          <a:graphic>
            <a:graphicData uri="http://schemas.openxmlformats.org/drawingml/2006/picture">
              <pic:pic>
                <pic:nvPicPr>
                  <pic:cNvPr descr="V:\Short\Short\Headed Paper\Burgandy Footer 2018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37020" cy="83566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-180974</wp:posOffset>
          </wp:positionH>
          <wp:positionV relativeFrom="paragraph">
            <wp:posOffset>-762634</wp:posOffset>
          </wp:positionV>
          <wp:extent cx="1581150" cy="781050"/>
          <wp:effectExtent b="0" l="0" r="0" t="0"/>
          <wp:wrapNone/>
          <wp:docPr descr="V:\Meadow\Final Logos\Cleeve Park Final (Small).jpg" id="4" name="image2.jpg"/>
          <a:graphic>
            <a:graphicData uri="http://schemas.openxmlformats.org/drawingml/2006/picture">
              <pic:pic>
                <pic:nvPicPr>
                  <pic:cNvPr descr="V:\Meadow\Final Logos\Cleeve Park Final (Small)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1150" cy="7810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Classic1">
    <w:name w:val="Table Classic 1"/>
    <w:basedOn w:val="TableNormal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2">
    <w:name w:val="Table Classic 2"/>
    <w:basedOn w:val="TableNormal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Hyperlink">
    <w:name w:val="Hyperlink"/>
    <w:basedOn w:val="DefaultParagraphFont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BodyText">
    <w:name w:val="Body Text"/>
    <w:basedOn w:val="Normal"/>
    <w:link w:val="BodyTextChar"/>
    <w:rsid w:val="00E91C65"/>
    <w:rPr>
      <w:sz w:val="22"/>
      <w:szCs w:val="20"/>
      <w:lang w:eastAsia="en-US"/>
    </w:rPr>
  </w:style>
  <w:style w:type="character" w:styleId="BodyTextChar" w:customStyle="1">
    <w:name w:val="Body Text Char"/>
    <w:basedOn w:val="DefaultParagraphFont"/>
    <w:link w:val="BodyText"/>
    <w:rsid w:val="00E91C65"/>
    <w:rPr>
      <w:sz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zoJRno9nbCvWzbRo8EMDPkEsjg==">AMUW2mXC6oofmfcZOomePgI6HKZx6eYGa5IwrxW/ml7+75mj/340m9eUHZWm+2LZ0SFsCoAGpzPFEAWNYNnOimOV/ug+Yh601/NM9m8htcsEi5YojBTVde89mGaoQhs2fDsGkwpip7GW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2019-10-07T11:06:00Z</dcterms:created>
  <dc:creator>Ockelford</dc:creator>
</cp:coreProperties>
</file>