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 xml:space="preserve">Teacher of </w:t>
      </w:r>
      <w:r w:rsidR="008265D9">
        <w:rPr>
          <w:rFonts w:eastAsia="Calibri" w:cs="Arial"/>
        </w:rPr>
        <w:t>Business and Economics</w:t>
      </w:r>
    </w:p>
    <w:p w:rsidR="00FE25EC" w:rsidRPr="00F01696" w:rsidRDefault="00FE25EC"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D65FB5">
        <w:rPr>
          <w:rFonts w:eastAsia="Calibri" w:cs="Arial"/>
        </w:rPr>
        <w:t xml:space="preserve">Lead </w:t>
      </w:r>
      <w:r w:rsidR="005E38AE">
        <w:rPr>
          <w:rFonts w:eastAsia="Calibri" w:cs="Arial"/>
        </w:rPr>
        <w:t xml:space="preserve">Teacher </w:t>
      </w:r>
    </w:p>
    <w:p w:rsidR="00DD3F60" w:rsidRDefault="00DD3F60"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5E38AE">
        <w:rPr>
          <w:rFonts w:eastAsia="Calibri" w:cs="Arial"/>
        </w:rPr>
        <w:t>Equivalent to main pay</w:t>
      </w:r>
    </w:p>
    <w:p w:rsidR="00725C1A" w:rsidRDefault="00725C1A" w:rsidP="00FE25EC">
      <w:pPr>
        <w:spacing w:line="240" w:lineRule="auto"/>
        <w:contextualSpacing/>
        <w:rPr>
          <w:rFonts w:eastAsia="Calibri" w:cs="Arial"/>
          <w:b/>
        </w:rPr>
      </w:pPr>
    </w:p>
    <w:p w:rsidR="0034036F" w:rsidRDefault="0034036F" w:rsidP="0034036F">
      <w:pPr>
        <w:rPr>
          <w:rFonts w:ascii="Calibri" w:eastAsia="Calibri" w:hAnsi="Calibri" w:cs="Arial"/>
        </w:rPr>
      </w:pPr>
      <w:r w:rsidRPr="00482E24">
        <w:rPr>
          <w:rFonts w:ascii="Calibri" w:eastAsia="Calibri" w:hAnsi="Calibri" w:cs="Arial"/>
          <w:b/>
        </w:rPr>
        <w:t>Closing date:</w:t>
      </w:r>
      <w:r w:rsidRPr="00482E24">
        <w:rPr>
          <w:rFonts w:ascii="Calibri" w:eastAsia="Calibri" w:hAnsi="Calibri" w:cs="Arial"/>
          <w:b/>
        </w:rPr>
        <w:tab/>
      </w:r>
      <w:r w:rsidRPr="00482E24">
        <w:rPr>
          <w:rFonts w:ascii="Calibri" w:eastAsia="Calibri" w:hAnsi="Calibri" w:cs="Arial"/>
          <w:b/>
        </w:rPr>
        <w:tab/>
      </w:r>
      <w:r>
        <w:rPr>
          <w:rFonts w:ascii="Calibri" w:eastAsia="Calibri" w:hAnsi="Calibri" w:cs="Arial"/>
          <w:b/>
        </w:rPr>
        <w:tab/>
        <w:t>Tuesday 28</w:t>
      </w:r>
      <w:r w:rsidRPr="00247E57">
        <w:rPr>
          <w:rFonts w:ascii="Calibri" w:eastAsia="Calibri" w:hAnsi="Calibri" w:cs="Arial"/>
          <w:b/>
          <w:vertAlign w:val="superscript"/>
        </w:rPr>
        <w:t>th</w:t>
      </w:r>
      <w:r>
        <w:rPr>
          <w:rFonts w:ascii="Calibri" w:eastAsia="Calibri" w:hAnsi="Calibri" w:cs="Arial"/>
          <w:b/>
        </w:rPr>
        <w:t xml:space="preserve"> November</w:t>
      </w:r>
      <w:r w:rsidR="00601AA4">
        <w:rPr>
          <w:rFonts w:ascii="Calibri" w:eastAsia="Calibri" w:hAnsi="Calibri" w:cs="Arial"/>
          <w:b/>
        </w:rPr>
        <w:t xml:space="preserve"> 2017</w:t>
      </w:r>
      <w:r w:rsidRPr="001772E9">
        <w:rPr>
          <w:rFonts w:ascii="Calibri" w:eastAsia="Calibri" w:hAnsi="Calibri" w:cs="Arial"/>
          <w:b/>
        </w:rPr>
        <w:t xml:space="preserve"> @ 9.00am</w:t>
      </w:r>
    </w:p>
    <w:p w:rsidR="0034036F" w:rsidRDefault="0034036F" w:rsidP="0034036F">
      <w:pPr>
        <w:rPr>
          <w:rFonts w:ascii="Calibri" w:eastAsia="Calibri" w:hAnsi="Calibri" w:cs="Arial"/>
          <w:b/>
        </w:rPr>
      </w:pPr>
      <w:r w:rsidRPr="00B139AC">
        <w:rPr>
          <w:rFonts w:ascii="Calibri" w:eastAsia="Calibri" w:hAnsi="Calibri" w:cs="Arial"/>
          <w:b/>
        </w:rPr>
        <w:t>Interview date</w:t>
      </w:r>
      <w:r>
        <w:rPr>
          <w:rFonts w:ascii="Calibri" w:eastAsia="Calibri" w:hAnsi="Calibri" w:cs="Arial"/>
          <w:b/>
        </w:rPr>
        <w:t>s</w:t>
      </w:r>
      <w:r w:rsidRPr="00B139AC">
        <w:rPr>
          <w:rFonts w:ascii="Calibri" w:eastAsia="Calibri" w:hAnsi="Calibri" w:cs="Arial"/>
          <w:b/>
        </w:rPr>
        <w:t>:</w:t>
      </w:r>
      <w:r w:rsidRPr="00B139AC">
        <w:rPr>
          <w:rFonts w:ascii="Calibri" w:eastAsia="Calibri" w:hAnsi="Calibri" w:cs="Arial"/>
          <w:b/>
        </w:rPr>
        <w:tab/>
      </w:r>
      <w:r>
        <w:rPr>
          <w:rFonts w:ascii="Calibri" w:eastAsia="Calibri" w:hAnsi="Calibri" w:cs="Arial"/>
          <w:b/>
        </w:rPr>
        <w:tab/>
      </w:r>
      <w:r w:rsidRPr="001772E9">
        <w:rPr>
          <w:rFonts w:ascii="Calibri" w:eastAsia="Calibri" w:hAnsi="Calibri" w:cs="Arial"/>
          <w:b/>
        </w:rPr>
        <w:t xml:space="preserve">Week commencing Monday </w:t>
      </w:r>
      <w:r>
        <w:rPr>
          <w:rFonts w:ascii="Calibri" w:eastAsia="Calibri" w:hAnsi="Calibri" w:cs="Arial"/>
          <w:b/>
        </w:rPr>
        <w:t>4</w:t>
      </w:r>
      <w:r w:rsidRPr="00247E57">
        <w:rPr>
          <w:rFonts w:ascii="Calibri" w:eastAsia="Calibri" w:hAnsi="Calibri" w:cs="Arial"/>
          <w:b/>
          <w:vertAlign w:val="superscript"/>
        </w:rPr>
        <w:t>th</w:t>
      </w:r>
      <w:r>
        <w:rPr>
          <w:rFonts w:ascii="Calibri" w:eastAsia="Calibri" w:hAnsi="Calibri" w:cs="Arial"/>
          <w:b/>
        </w:rPr>
        <w:t xml:space="preserve"> December</w:t>
      </w:r>
      <w:r w:rsidRPr="001772E9">
        <w:rPr>
          <w:rFonts w:ascii="Calibri" w:eastAsia="Calibri" w:hAnsi="Calibri" w:cs="Arial"/>
          <w:b/>
        </w:rPr>
        <w:t xml:space="preserve"> 2017</w:t>
      </w:r>
    </w:p>
    <w:p w:rsidR="0034036F" w:rsidRPr="00482E24" w:rsidRDefault="0034036F" w:rsidP="0034036F">
      <w:pPr>
        <w:rPr>
          <w:rFonts w:ascii="Calibri" w:eastAsia="Calibri" w:hAnsi="Calibri" w:cs="Arial"/>
        </w:rPr>
      </w:pPr>
      <w:r w:rsidRPr="00482E24">
        <w:rPr>
          <w:rFonts w:ascii="Calibri" w:eastAsia="Calibri" w:hAnsi="Calibri" w:cs="Arial"/>
          <w:b/>
        </w:rPr>
        <w:t>Start Date:</w:t>
      </w:r>
      <w:r w:rsidRPr="00482E24">
        <w:rPr>
          <w:rFonts w:ascii="Calibri" w:eastAsia="Calibri" w:hAnsi="Calibri" w:cs="Arial"/>
        </w:rPr>
        <w:t xml:space="preserve"> </w:t>
      </w:r>
      <w:r w:rsidRPr="00482E24">
        <w:rPr>
          <w:rFonts w:ascii="Calibri" w:eastAsia="Calibri" w:hAnsi="Calibri" w:cs="Arial"/>
        </w:rPr>
        <w:tab/>
      </w:r>
      <w:r w:rsidRPr="00482E24">
        <w:rPr>
          <w:rFonts w:ascii="Calibri" w:eastAsia="Calibri" w:hAnsi="Calibri" w:cs="Arial"/>
        </w:rPr>
        <w:tab/>
      </w:r>
      <w:r>
        <w:rPr>
          <w:rFonts w:ascii="Calibri" w:eastAsia="Calibri" w:hAnsi="Calibri" w:cs="Arial"/>
        </w:rPr>
        <w:tab/>
        <w:t>1</w:t>
      </w:r>
      <w:r w:rsidRPr="00247E57">
        <w:rPr>
          <w:rFonts w:ascii="Calibri" w:eastAsia="Calibri" w:hAnsi="Calibri" w:cs="Arial"/>
          <w:vertAlign w:val="superscript"/>
        </w:rPr>
        <w:t>st</w:t>
      </w:r>
      <w:r>
        <w:rPr>
          <w:rFonts w:ascii="Calibri" w:eastAsia="Calibri" w:hAnsi="Calibri" w:cs="Arial"/>
        </w:rPr>
        <w:t xml:space="preserve"> September 2018. [NQTs from 1</w:t>
      </w:r>
      <w:r w:rsidRPr="00247E57">
        <w:rPr>
          <w:rFonts w:ascii="Calibri" w:eastAsia="Calibri" w:hAnsi="Calibri" w:cs="Arial"/>
          <w:vertAlign w:val="superscript"/>
        </w:rPr>
        <w:t>st</w:t>
      </w:r>
      <w:r>
        <w:rPr>
          <w:rFonts w:ascii="Calibri" w:eastAsia="Calibri" w:hAnsi="Calibri" w:cs="Arial"/>
        </w:rPr>
        <w:t xml:space="preserve"> July 2018]</w:t>
      </w:r>
    </w:p>
    <w:p w:rsidR="0034036F" w:rsidRDefault="0034036F" w:rsidP="00FE25EC">
      <w:pPr>
        <w:spacing w:line="240" w:lineRule="auto"/>
        <w:contextualSpacing/>
        <w:rPr>
          <w:rFonts w:eastAsia="Calibri" w:cs="Arial"/>
          <w:b/>
        </w:rPr>
      </w:pPr>
    </w:p>
    <w:p w:rsidR="0034036F" w:rsidRDefault="0034036F"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r the direction of the Lead Teacher</w:t>
      </w:r>
      <w:bookmarkStart w:id="0" w:name="_GoBack"/>
      <w:bookmarkEnd w:id="0"/>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601AA4">
        <w:rPr>
          <w:rFonts w:eastAsia="Calibri" w:cs="Arial"/>
        </w:rPr>
        <w:t>Business and Economics.</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8265D9">
        <w:rPr>
          <w:rFonts w:eastAsia="Calibri" w:cs="Arial"/>
        </w:rPr>
        <w:t>Communications</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lastRenderedPageBreak/>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To lead by example and model the highest professional standards to staff, students, parents and part</w:t>
      </w:r>
      <w:r w:rsidR="006F4AAF">
        <w:rPr>
          <w:rFonts w:asciiTheme="minorHAnsi" w:hAnsiTheme="minorHAnsi" w:cs="Tahoma"/>
        </w:rPr>
        <w:t>ners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6F4AAF">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6F4AAF">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6F4AAF">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6F4AAF">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8265D9">
        <w:rPr>
          <w:rFonts w:eastAsia="Calibri" w:cs="Arial"/>
          <w:b/>
          <w:u w:val="single"/>
        </w:rPr>
        <w:t>Business and Economics</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675B98" w:rsidP="00675B98">
      <w:pPr>
        <w:spacing w:line="240" w:lineRule="auto"/>
        <w:contextualSpacing/>
        <w:rPr>
          <w:rFonts w:eastAsia="Calibri" w:cs="Arial"/>
          <w:i/>
        </w:rPr>
      </w:pPr>
      <w:r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The WMG Academy for Young Engineers Multi Academy Trust was formed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As well as a core curriculum at Key Stage 4, which includes GCSEs in the core subjects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Ratan Tata, the Coventry Academy has over 400 students on roll in its second year.  Located close to the Westwood area in Canley and the University of Warwick, the Coventry Academy was designed with a large Engineering Hall filled with over £600,000 worth of specialist equipment.  Three dedicated CAD areas allow industry standard software to be used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the Coventry Academy come from a wide catchment area which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The Academy follows an 8.30 am – 4.30 pm day with enrichment opportunities offered to students that include football, basketball, badminton, rocketry club, aerospace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8A" w:rsidRDefault="0097468A" w:rsidP="005F6F32">
      <w:pPr>
        <w:spacing w:after="0" w:line="240" w:lineRule="auto"/>
      </w:pPr>
      <w:r>
        <w:separator/>
      </w:r>
    </w:p>
  </w:endnote>
  <w:endnote w:type="continuationSeparator" w:id="0">
    <w:p w:rsidR="0097468A" w:rsidRDefault="0097468A"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97468A" w:rsidRDefault="009746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3F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3F60">
              <w:rPr>
                <w:b/>
                <w:bCs/>
                <w:noProof/>
              </w:rPr>
              <w:t>5</w:t>
            </w:r>
            <w:r>
              <w:rPr>
                <w:b/>
                <w:bCs/>
                <w:sz w:val="24"/>
                <w:szCs w:val="24"/>
              </w:rPr>
              <w:fldChar w:fldCharType="end"/>
            </w:r>
          </w:p>
        </w:sdtContent>
      </w:sdt>
    </w:sdtContent>
  </w:sdt>
  <w:p w:rsidR="0097468A" w:rsidRDefault="0097468A">
    <w:pPr>
      <w:pStyle w:val="Footer"/>
      <w:rPr>
        <w:color w:val="808080" w:themeColor="background1" w:themeShade="80"/>
        <w:sz w:val="16"/>
        <w:szCs w:val="16"/>
      </w:rPr>
    </w:pPr>
    <w:r>
      <w:rPr>
        <w:color w:val="808080" w:themeColor="background1" w:themeShade="80"/>
        <w:sz w:val="16"/>
        <w:szCs w:val="16"/>
      </w:rPr>
      <w:t>Version 11/10/17</w:t>
    </w:r>
  </w:p>
  <w:p w:rsidR="0097468A" w:rsidRPr="00F471EE" w:rsidRDefault="0097468A">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8A" w:rsidRDefault="0097468A" w:rsidP="005F6F32">
      <w:pPr>
        <w:spacing w:after="0" w:line="240" w:lineRule="auto"/>
      </w:pPr>
      <w:r>
        <w:separator/>
      </w:r>
    </w:p>
  </w:footnote>
  <w:footnote w:type="continuationSeparator" w:id="0">
    <w:p w:rsidR="0097468A" w:rsidRDefault="0097468A"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8A" w:rsidRDefault="0097468A">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A42B7"/>
    <w:rsid w:val="000C3E9D"/>
    <w:rsid w:val="000D29B4"/>
    <w:rsid w:val="000F6BF4"/>
    <w:rsid w:val="001000CD"/>
    <w:rsid w:val="001024E1"/>
    <w:rsid w:val="00120B9A"/>
    <w:rsid w:val="0013674A"/>
    <w:rsid w:val="001837AA"/>
    <w:rsid w:val="00191260"/>
    <w:rsid w:val="001F02CC"/>
    <w:rsid w:val="00210F24"/>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036F"/>
    <w:rsid w:val="00343EBC"/>
    <w:rsid w:val="003538EC"/>
    <w:rsid w:val="003631B6"/>
    <w:rsid w:val="00377CB7"/>
    <w:rsid w:val="0038312A"/>
    <w:rsid w:val="003A7949"/>
    <w:rsid w:val="003E06C9"/>
    <w:rsid w:val="003E49BD"/>
    <w:rsid w:val="003E753A"/>
    <w:rsid w:val="003F40A1"/>
    <w:rsid w:val="003F75EC"/>
    <w:rsid w:val="0040260A"/>
    <w:rsid w:val="00404E49"/>
    <w:rsid w:val="004107ED"/>
    <w:rsid w:val="00410E01"/>
    <w:rsid w:val="00417E84"/>
    <w:rsid w:val="004220DF"/>
    <w:rsid w:val="00435A15"/>
    <w:rsid w:val="00443E3D"/>
    <w:rsid w:val="00447E48"/>
    <w:rsid w:val="00474F6D"/>
    <w:rsid w:val="00477441"/>
    <w:rsid w:val="004846D3"/>
    <w:rsid w:val="004967C2"/>
    <w:rsid w:val="004D37A2"/>
    <w:rsid w:val="004E60C3"/>
    <w:rsid w:val="005118FB"/>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1AA4"/>
    <w:rsid w:val="00604219"/>
    <w:rsid w:val="006047D6"/>
    <w:rsid w:val="00621AB6"/>
    <w:rsid w:val="00625CF9"/>
    <w:rsid w:val="006442CB"/>
    <w:rsid w:val="00645C5E"/>
    <w:rsid w:val="00662918"/>
    <w:rsid w:val="00664810"/>
    <w:rsid w:val="00665B66"/>
    <w:rsid w:val="00667985"/>
    <w:rsid w:val="0067000F"/>
    <w:rsid w:val="00675B98"/>
    <w:rsid w:val="00691EDC"/>
    <w:rsid w:val="006E7CC4"/>
    <w:rsid w:val="006F4AAF"/>
    <w:rsid w:val="00723188"/>
    <w:rsid w:val="00725C1A"/>
    <w:rsid w:val="00732DE5"/>
    <w:rsid w:val="007401EC"/>
    <w:rsid w:val="0074377D"/>
    <w:rsid w:val="00747E07"/>
    <w:rsid w:val="007679E1"/>
    <w:rsid w:val="0078675B"/>
    <w:rsid w:val="007A4992"/>
    <w:rsid w:val="007C6CB7"/>
    <w:rsid w:val="007C7A27"/>
    <w:rsid w:val="007C7CFB"/>
    <w:rsid w:val="007D0F74"/>
    <w:rsid w:val="007E1B1E"/>
    <w:rsid w:val="007E65BC"/>
    <w:rsid w:val="007F186C"/>
    <w:rsid w:val="007F3D22"/>
    <w:rsid w:val="00813757"/>
    <w:rsid w:val="00824216"/>
    <w:rsid w:val="008265D9"/>
    <w:rsid w:val="0084209B"/>
    <w:rsid w:val="00847AB6"/>
    <w:rsid w:val="00863872"/>
    <w:rsid w:val="00876C90"/>
    <w:rsid w:val="008807CC"/>
    <w:rsid w:val="00892BE9"/>
    <w:rsid w:val="00892DA0"/>
    <w:rsid w:val="008B3BCB"/>
    <w:rsid w:val="008B4523"/>
    <w:rsid w:val="008C2BEC"/>
    <w:rsid w:val="008E09F0"/>
    <w:rsid w:val="008F2548"/>
    <w:rsid w:val="008F5440"/>
    <w:rsid w:val="009000AD"/>
    <w:rsid w:val="00901A30"/>
    <w:rsid w:val="0090512D"/>
    <w:rsid w:val="009274E5"/>
    <w:rsid w:val="0097468A"/>
    <w:rsid w:val="009857BA"/>
    <w:rsid w:val="009A478F"/>
    <w:rsid w:val="009C7F39"/>
    <w:rsid w:val="009D6334"/>
    <w:rsid w:val="00A0503E"/>
    <w:rsid w:val="00A712DF"/>
    <w:rsid w:val="00A83200"/>
    <w:rsid w:val="00A84F3C"/>
    <w:rsid w:val="00AA24ED"/>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74FD"/>
    <w:rsid w:val="00C023D6"/>
    <w:rsid w:val="00C154F9"/>
    <w:rsid w:val="00C2528E"/>
    <w:rsid w:val="00C40500"/>
    <w:rsid w:val="00C557F6"/>
    <w:rsid w:val="00C8560E"/>
    <w:rsid w:val="00CA406E"/>
    <w:rsid w:val="00CA70E3"/>
    <w:rsid w:val="00CD628C"/>
    <w:rsid w:val="00CE2E98"/>
    <w:rsid w:val="00CE6BDF"/>
    <w:rsid w:val="00CF7577"/>
    <w:rsid w:val="00D16700"/>
    <w:rsid w:val="00D23CF5"/>
    <w:rsid w:val="00D35F6B"/>
    <w:rsid w:val="00D5057B"/>
    <w:rsid w:val="00D55D8E"/>
    <w:rsid w:val="00D63FE4"/>
    <w:rsid w:val="00D65FB5"/>
    <w:rsid w:val="00D86539"/>
    <w:rsid w:val="00D97333"/>
    <w:rsid w:val="00DB34EC"/>
    <w:rsid w:val="00DC0EE1"/>
    <w:rsid w:val="00DC16E2"/>
    <w:rsid w:val="00DC392E"/>
    <w:rsid w:val="00DC7A95"/>
    <w:rsid w:val="00DD3F60"/>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5A9E4B0"/>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67C4D42</Template>
  <TotalTime>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2017-11-14T13:35:00Z</cp:lastPrinted>
  <dcterms:created xsi:type="dcterms:W3CDTF">2017-11-15T08:40:00Z</dcterms:created>
  <dcterms:modified xsi:type="dcterms:W3CDTF">2017-11-15T08:40:00Z</dcterms:modified>
</cp:coreProperties>
</file>