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087" w:rsidRDefault="00BA2087" w:rsidP="00BA2087">
      <w:pPr>
        <w:spacing w:line="256" w:lineRule="auto"/>
        <w:jc w:val="center"/>
        <w:rPr>
          <w:rFonts w:ascii="Calibri" w:eastAsia="Calibri" w:hAnsi="Calibri" w:cs="Calibri"/>
          <w:b/>
          <w:sz w:val="36"/>
          <w:szCs w:val="36"/>
        </w:rPr>
      </w:pPr>
      <w:r>
        <w:rPr>
          <w:rFonts w:ascii="Calibri" w:eastAsia="Calibri" w:hAnsi="Calibri" w:cs="Calibri"/>
          <w:b/>
          <w:sz w:val="36"/>
          <w:szCs w:val="36"/>
        </w:rPr>
        <w:t>Class Teacher Job Description</w:t>
      </w:r>
    </w:p>
    <w:p w:rsidR="00BA2087" w:rsidRDefault="00BA2087" w:rsidP="00BA2087">
      <w:pPr>
        <w:spacing w:line="256" w:lineRule="auto"/>
        <w:rPr>
          <w:rFonts w:ascii="Calibri" w:eastAsia="Calibri" w:hAnsi="Calibri" w:cs="Calibri"/>
          <w:b/>
          <w:sz w:val="22"/>
          <w:szCs w:val="22"/>
        </w:rPr>
      </w:pPr>
      <w:bookmarkStart w:id="0" w:name="_gjdgxs"/>
      <w:bookmarkEnd w:id="0"/>
    </w:p>
    <w:p w:rsidR="00BA2087" w:rsidRDefault="00BA2087" w:rsidP="00BA2087">
      <w:pPr>
        <w:spacing w:line="256" w:lineRule="auto"/>
        <w:rPr>
          <w:rFonts w:ascii="Calibri" w:eastAsia="Calibri" w:hAnsi="Calibri" w:cs="Calibri"/>
          <w:b/>
          <w:sz w:val="22"/>
          <w:szCs w:val="22"/>
        </w:rPr>
      </w:pPr>
      <w:r>
        <w:rPr>
          <w:rFonts w:ascii="Calibri" w:eastAsia="Calibri" w:hAnsi="Calibri" w:cs="Calibri"/>
          <w:b/>
          <w:sz w:val="22"/>
          <w:szCs w:val="22"/>
        </w:rPr>
        <w:t xml:space="preserve">KEY PURPOSE OF THE JOB </w:t>
      </w:r>
    </w:p>
    <w:p w:rsidR="00BA2087" w:rsidRDefault="00BA2087" w:rsidP="00BA2087">
      <w:pPr>
        <w:spacing w:line="256" w:lineRule="auto"/>
        <w:rPr>
          <w:rFonts w:ascii="Calibri" w:eastAsia="Calibri" w:hAnsi="Calibri" w:cs="Calibri"/>
          <w:sz w:val="22"/>
          <w:szCs w:val="22"/>
        </w:rPr>
      </w:pPr>
      <w:r>
        <w:rPr>
          <w:rFonts w:ascii="Calibri" w:eastAsia="Calibri" w:hAnsi="Calibri" w:cs="Calibri"/>
          <w:sz w:val="22"/>
          <w:szCs w:val="22"/>
        </w:rPr>
        <w:t xml:space="preserve">To take responsibility for the education and welfare of a designated class of children in accordance with the current School Teachers’ Pay and Conditions document, having due regard to the requirements of the National Curriculum and school policies. </w:t>
      </w:r>
    </w:p>
    <w:p w:rsidR="00BA2087" w:rsidRDefault="00BA2087" w:rsidP="00BA2087">
      <w:pPr>
        <w:spacing w:after="160" w:line="256" w:lineRule="auto"/>
        <w:rPr>
          <w:rFonts w:ascii="Calibri" w:eastAsia="Calibri" w:hAnsi="Calibri" w:cs="Calibri"/>
          <w:b/>
          <w:sz w:val="22"/>
          <w:szCs w:val="22"/>
        </w:rPr>
      </w:pPr>
    </w:p>
    <w:p w:rsidR="00BA2087" w:rsidRDefault="00BA2087" w:rsidP="00BA2087">
      <w:pPr>
        <w:spacing w:line="256" w:lineRule="auto"/>
        <w:rPr>
          <w:rFonts w:ascii="Calibri" w:eastAsia="Calibri" w:hAnsi="Calibri" w:cs="Calibri"/>
          <w:sz w:val="22"/>
          <w:szCs w:val="22"/>
        </w:rPr>
      </w:pPr>
      <w:r>
        <w:rPr>
          <w:rFonts w:ascii="Calibri" w:eastAsia="Calibri" w:hAnsi="Calibri" w:cs="Calibri"/>
          <w:b/>
          <w:sz w:val="22"/>
          <w:szCs w:val="22"/>
        </w:rPr>
        <w:t>MAIN ACTIVITIES</w:t>
      </w:r>
      <w:r>
        <w:rPr>
          <w:rFonts w:ascii="Calibri" w:eastAsia="Calibri" w:hAnsi="Calibri" w:cs="Calibri"/>
          <w:sz w:val="22"/>
          <w:szCs w:val="22"/>
        </w:rPr>
        <w:t xml:space="preserve"> </w:t>
      </w:r>
    </w:p>
    <w:p w:rsidR="00BA2087" w:rsidRDefault="00BA2087" w:rsidP="00BA2087">
      <w:pPr>
        <w:spacing w:line="256" w:lineRule="auto"/>
        <w:rPr>
          <w:rFonts w:ascii="Calibri" w:eastAsia="Calibri" w:hAnsi="Calibri" w:cs="Calibri"/>
          <w:sz w:val="22"/>
          <w:szCs w:val="22"/>
        </w:rPr>
      </w:pPr>
      <w:r>
        <w:rPr>
          <w:rFonts w:ascii="Calibri" w:eastAsia="Calibri" w:hAnsi="Calibri" w:cs="Calibri"/>
          <w:sz w:val="22"/>
          <w:szCs w:val="22"/>
        </w:rPr>
        <w:t>1. To take responsibility for planning and implementing appropriate work programmes for all children in the designated class/</w:t>
      </w:r>
      <w:proofErr w:type="spellStart"/>
      <w:r>
        <w:rPr>
          <w:rFonts w:ascii="Calibri" w:eastAsia="Calibri" w:hAnsi="Calibri" w:cs="Calibri"/>
          <w:sz w:val="22"/>
          <w:szCs w:val="22"/>
        </w:rPr>
        <w:t>es</w:t>
      </w:r>
      <w:proofErr w:type="spellEnd"/>
      <w:r>
        <w:rPr>
          <w:rFonts w:ascii="Calibri" w:eastAsia="Calibri" w:hAnsi="Calibri" w:cs="Calibri"/>
          <w:sz w:val="22"/>
          <w:szCs w:val="22"/>
        </w:rPr>
        <w:t xml:space="preserve">, within the framework of national and school policies. </w:t>
      </w:r>
    </w:p>
    <w:p w:rsidR="00BA2087" w:rsidRDefault="00BA2087" w:rsidP="00BA2087">
      <w:pPr>
        <w:spacing w:line="256" w:lineRule="auto"/>
        <w:rPr>
          <w:rFonts w:ascii="Calibri" w:eastAsia="Calibri" w:hAnsi="Calibri" w:cs="Calibri"/>
          <w:sz w:val="22"/>
          <w:szCs w:val="22"/>
        </w:rPr>
      </w:pPr>
      <w:r>
        <w:rPr>
          <w:rFonts w:ascii="Calibri" w:eastAsia="Calibri" w:hAnsi="Calibri" w:cs="Calibri"/>
          <w:sz w:val="22"/>
          <w:szCs w:val="22"/>
        </w:rPr>
        <w:t xml:space="preserve">2. To maintain assessment records and report on pupils’ progress to senior staff and to parents and carers, in accordance with school policy. </w:t>
      </w:r>
    </w:p>
    <w:p w:rsidR="00BA2087" w:rsidRDefault="00BA2087" w:rsidP="00BA2087">
      <w:pPr>
        <w:spacing w:line="256" w:lineRule="auto"/>
        <w:rPr>
          <w:rFonts w:ascii="Calibri" w:eastAsia="Calibri" w:hAnsi="Calibri" w:cs="Calibri"/>
          <w:sz w:val="22"/>
          <w:szCs w:val="22"/>
        </w:rPr>
      </w:pPr>
      <w:r>
        <w:rPr>
          <w:rFonts w:ascii="Calibri" w:eastAsia="Calibri" w:hAnsi="Calibri" w:cs="Calibri"/>
          <w:sz w:val="22"/>
          <w:szCs w:val="22"/>
        </w:rPr>
        <w:t xml:space="preserve">3. To manage additional adults within the classroom. </w:t>
      </w:r>
    </w:p>
    <w:p w:rsidR="00BA2087" w:rsidRDefault="00BA2087" w:rsidP="00BA2087">
      <w:pPr>
        <w:spacing w:line="256" w:lineRule="auto"/>
        <w:rPr>
          <w:rFonts w:ascii="Calibri" w:eastAsia="Calibri" w:hAnsi="Calibri" w:cs="Calibri"/>
          <w:sz w:val="22"/>
          <w:szCs w:val="22"/>
        </w:rPr>
      </w:pP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b/>
          <w:sz w:val="22"/>
          <w:szCs w:val="22"/>
        </w:rPr>
        <w:t>PRINCIPAL ACCOUNTABILITIES</w:t>
      </w:r>
      <w:r>
        <w:rPr>
          <w:rFonts w:ascii="Calibri" w:eastAsia="Calibri" w:hAnsi="Calibri" w:cs="Calibri"/>
          <w:sz w:val="22"/>
          <w:szCs w:val="22"/>
        </w:rPr>
        <w:t xml:space="preserve">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1. To plan work for the class in accordance with national, and school curriculum policies and in co-operation with subject, year and phase leaders to ensure that the children experience a broad, balanced, relevant and stimulating curriculum.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2. To work closely with colleagues to undertake medium and short term planning and the implementation of agreed schemes of work.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3. To ensure a close match between the learning experience offered and the individual needs of the children in the class, so as to give each child an opportunity to achieve to the maximum of his/her capability.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4. To make appropriate educational provision for children with SEN, EAL and for those children identified as Gifted and Talented, following the support and guidance of the SENCO.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5. To lead, organise and liaise with support staff to provide intervention groups.</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6. To make sure that the majority of the children’s work is closely linked to cross-curricular and experiential learning.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7. To assess children’s progress, maintain records and provide written reports to parents and carers in accordance with school policies.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8. To communicate and consult with parents and carers and with outside agencies, as necessary, about children’s progress and attainment.</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9. To promote and commit to the school’s vision and values.</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lastRenderedPageBreak/>
        <w:t xml:space="preserve">10. To provide children with opportunities to manage their own learning and become independent learners. </w:t>
      </w:r>
    </w:p>
    <w:p w:rsidR="00BA2087" w:rsidRDefault="00BA2087" w:rsidP="00BA2087">
      <w:pPr>
        <w:spacing w:after="160" w:line="256" w:lineRule="auto"/>
        <w:rPr>
          <w:rFonts w:ascii="Calibri" w:eastAsia="Calibri" w:hAnsi="Calibri" w:cs="Calibri"/>
          <w:sz w:val="22"/>
          <w:szCs w:val="22"/>
        </w:rPr>
      </w:pP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11. To create a secure, happy and stimulating classroom environment, maintaining the highest standards of organisation, and discipline.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12. To foster each child’s self-image and esteem and establish relationships which are based on mutual respect.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13. To take up the opportunity for continuous professional development through self-directed reading, courses and in-service training.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 xml:space="preserve">14. To undertake any other reasonable and relevant duties in accordance with the changing needs of the school.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b/>
          <w:sz w:val="22"/>
          <w:szCs w:val="22"/>
        </w:rPr>
        <w:t>Equal Opportunity</w:t>
      </w:r>
      <w:r>
        <w:rPr>
          <w:rFonts w:ascii="Calibri" w:eastAsia="Calibri" w:hAnsi="Calibri" w:cs="Calibri"/>
          <w:sz w:val="22"/>
          <w:szCs w:val="22"/>
        </w:rPr>
        <w:t xml:space="preserve"> </w:t>
      </w:r>
    </w:p>
    <w:p w:rsidR="00BA2087" w:rsidRDefault="00BA2087" w:rsidP="00BA2087">
      <w:pPr>
        <w:spacing w:after="160" w:line="256" w:lineRule="auto"/>
        <w:rPr>
          <w:rFonts w:ascii="Calibri" w:eastAsia="Calibri" w:hAnsi="Calibri" w:cs="Calibri"/>
          <w:sz w:val="22"/>
          <w:szCs w:val="22"/>
        </w:rPr>
      </w:pPr>
      <w:r>
        <w:rPr>
          <w:rFonts w:ascii="Calibri" w:eastAsia="Calibri" w:hAnsi="Calibri" w:cs="Calibri"/>
          <w:sz w:val="22"/>
          <w:szCs w:val="22"/>
        </w:rPr>
        <w:t>The post holder will be expected to carry out all duties in the context of and in compliance with the school’s Equality Policy.</w:t>
      </w:r>
    </w:p>
    <w:p w:rsidR="00C92C1C" w:rsidRPr="00BA2087" w:rsidRDefault="00C92C1C" w:rsidP="00BA2087">
      <w:pPr>
        <w:rPr>
          <w:rFonts w:eastAsia="Arial"/>
        </w:rPr>
      </w:pPr>
      <w:bookmarkStart w:id="1" w:name="_GoBack"/>
      <w:bookmarkEnd w:id="1"/>
    </w:p>
    <w:sectPr w:rsidR="00C92C1C" w:rsidRPr="00BA2087">
      <w:headerReference w:type="default" r:id="rId6"/>
      <w:footerReference w:type="default" r:id="rId7"/>
      <w:pgSz w:w="11906" w:h="16838"/>
      <w:pgMar w:top="288" w:right="1137" w:bottom="720"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37A" w:rsidRDefault="00D4437A">
      <w:r>
        <w:separator/>
      </w:r>
    </w:p>
  </w:endnote>
  <w:endnote w:type="continuationSeparator" w:id="0">
    <w:p w:rsidR="00D4437A" w:rsidRDefault="00D4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7A" w:rsidRDefault="00D4437A">
    <w:pPr>
      <w:pBdr>
        <w:top w:val="nil"/>
        <w:left w:val="nil"/>
        <w:bottom w:val="nil"/>
        <w:right w:val="nil"/>
        <w:between w:val="nil"/>
      </w:pBdr>
      <w:jc w:val="center"/>
    </w:pPr>
    <w:r>
      <w:rPr>
        <w:rFonts w:ascii="Calibri" w:eastAsia="Calibri" w:hAnsi="Calibri" w:cs="Calibri"/>
        <w:b/>
        <w:i/>
        <w:color w:val="000080"/>
        <w:sz w:val="22"/>
        <w:szCs w:val="22"/>
      </w:rPr>
      <w:t xml:space="preserve">Chair of Governors: </w:t>
    </w:r>
    <w:r>
      <w:rPr>
        <w:rFonts w:ascii="Calibri" w:eastAsia="Calibri" w:hAnsi="Calibri" w:cs="Calibri"/>
        <w:i/>
        <w:color w:val="000080"/>
        <w:sz w:val="22"/>
        <w:szCs w:val="22"/>
      </w:rPr>
      <w:t xml:space="preserve">Mark Peters </w:t>
    </w:r>
    <w:r>
      <w:rPr>
        <w:rFonts w:ascii="Calibri" w:eastAsia="Calibri" w:hAnsi="Calibri" w:cs="Calibri"/>
        <w:b/>
        <w:i/>
        <w:color w:val="000080"/>
        <w:sz w:val="22"/>
        <w:szCs w:val="22"/>
      </w:rPr>
      <w:t xml:space="preserve">  </w:t>
    </w:r>
    <w:r>
      <w:rPr>
        <w:rFonts w:ascii="Calibri" w:eastAsia="Calibri" w:hAnsi="Calibri" w:cs="Calibri"/>
        <w:b/>
        <w:i/>
        <w:color w:val="000080"/>
        <w:sz w:val="22"/>
        <w:szCs w:val="22"/>
      </w:rPr>
      <w:tab/>
      <w:t xml:space="preserve">Vice Chair of Governors: </w:t>
    </w:r>
    <w:r>
      <w:rPr>
        <w:rFonts w:ascii="Calibri" w:eastAsia="Calibri" w:hAnsi="Calibri" w:cs="Calibri"/>
        <w:i/>
        <w:color w:val="000080"/>
        <w:sz w:val="22"/>
        <w:szCs w:val="22"/>
      </w:rPr>
      <w:t>Andrea Egan</w:t>
    </w:r>
  </w:p>
  <w:p w:rsidR="00D4437A" w:rsidRDefault="00D4437A">
    <w:pPr>
      <w:pBdr>
        <w:top w:val="nil"/>
        <w:left w:val="nil"/>
        <w:bottom w:val="nil"/>
        <w:right w:val="nil"/>
        <w:between w:val="nil"/>
      </w:pBdr>
      <w:jc w:val="center"/>
      <w:rPr>
        <w:i/>
      </w:rPr>
    </w:pPr>
    <w:r>
      <w:rPr>
        <w:rFonts w:ascii="Calibri" w:eastAsia="Calibri" w:hAnsi="Calibri" w:cs="Calibri"/>
        <w:b/>
        <w:i/>
        <w:sz w:val="22"/>
        <w:szCs w:val="22"/>
      </w:rPr>
      <w:t xml:space="preserve">T: </w:t>
    </w:r>
    <w:r>
      <w:rPr>
        <w:rFonts w:ascii="Calibri" w:eastAsia="Calibri" w:hAnsi="Calibri" w:cs="Calibri"/>
        <w:i/>
        <w:sz w:val="22"/>
        <w:szCs w:val="22"/>
      </w:rPr>
      <w:t xml:space="preserve">0207 622 3820 </w:t>
    </w:r>
    <w:r>
      <w:rPr>
        <w:rFonts w:ascii="Calibri" w:eastAsia="Calibri" w:hAnsi="Calibri" w:cs="Calibri"/>
        <w:b/>
        <w:i/>
        <w:sz w:val="22"/>
        <w:szCs w:val="22"/>
      </w:rPr>
      <w:t xml:space="preserve">     Email: </w:t>
    </w:r>
    <w:hyperlink r:id="rId1">
      <w:r>
        <w:rPr>
          <w:rFonts w:ascii="Calibri" w:eastAsia="Calibri" w:hAnsi="Calibri" w:cs="Calibri"/>
          <w:i/>
          <w:sz w:val="22"/>
          <w:szCs w:val="22"/>
        </w:rPr>
        <w:t>admin@larkhall.lambeth.sch.uk</w:t>
      </w:r>
    </w:hyperlink>
    <w:r>
      <w:fldChar w:fldCharType="begin"/>
    </w:r>
    <w:r>
      <w:instrText xml:space="preserve"> HYPERLINK "mailto:admin@larkhall.lambeth.sch.uk" </w:instrText>
    </w:r>
    <w:r>
      <w:fldChar w:fldCharType="separate"/>
    </w:r>
  </w:p>
  <w:p w:rsidR="00D4437A" w:rsidRDefault="00D4437A">
    <w:pPr>
      <w:pBdr>
        <w:top w:val="nil"/>
        <w:left w:val="nil"/>
        <w:bottom w:val="nil"/>
        <w:right w:val="nil"/>
        <w:between w:val="nil"/>
      </w:pBdr>
      <w:jc w:val="center"/>
    </w:pPr>
    <w:r>
      <w:fldChar w:fldCharType="end"/>
    </w:r>
    <w:r>
      <w:rPr>
        <w:rFonts w:ascii="Calibri" w:eastAsia="Calibri" w:hAnsi="Calibri" w:cs="Calibri"/>
        <w:b/>
        <w:i/>
        <w:sz w:val="22"/>
        <w:szCs w:val="22"/>
      </w:rPr>
      <w:t xml:space="preserve">Website:  </w:t>
    </w:r>
    <w:hyperlink r:id="rId2">
      <w:r>
        <w:rPr>
          <w:rFonts w:ascii="Calibri" w:eastAsia="Calibri" w:hAnsi="Calibri" w:cs="Calibri"/>
          <w:i/>
          <w:sz w:val="22"/>
          <w:szCs w:val="22"/>
        </w:rPr>
        <w:t>www.larkhall.lambeth.sch.uk</w:t>
      </w:r>
    </w:hyperlink>
    <w:r>
      <w:rPr>
        <w:rFonts w:ascii="Calibri" w:eastAsia="Calibri" w:hAnsi="Calibri" w:cs="Calibri"/>
        <w:b/>
        <w:i/>
        <w:sz w:val="22"/>
        <w:szCs w:val="22"/>
      </w:rPr>
      <w:t xml:space="preserve">   </w:t>
    </w:r>
  </w:p>
  <w:p w:rsidR="00D4437A" w:rsidRDefault="00D4437A">
    <w:pPr>
      <w:pBdr>
        <w:top w:val="nil"/>
        <w:left w:val="nil"/>
        <w:bottom w:val="nil"/>
        <w:right w:val="nil"/>
        <w:between w:val="nil"/>
      </w:pBdr>
      <w:jc w:val="center"/>
      <w:rPr>
        <w:rFonts w:ascii="Calibri" w:eastAsia="Calibri" w:hAnsi="Calibri" w:cs="Calibri"/>
        <w:i/>
        <w:sz w:val="22"/>
        <w:szCs w:val="22"/>
      </w:rPr>
    </w:pPr>
    <w:r>
      <w:rPr>
        <w:noProof/>
      </w:rPr>
      <w:drawing>
        <wp:inline distT="114300" distB="114300" distL="114300" distR="114300">
          <wp:extent cx="195263" cy="195263"/>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195263" cy="195263"/>
                  </a:xfrm>
                  <a:prstGeom prst="rect">
                    <a:avLst/>
                  </a:prstGeom>
                  <a:ln/>
                </pic:spPr>
              </pic:pic>
            </a:graphicData>
          </a:graphic>
        </wp:inline>
      </w:drawing>
    </w:r>
    <w:r>
      <w:rPr>
        <w:rFonts w:ascii="Calibri" w:eastAsia="Calibri" w:hAnsi="Calibri" w:cs="Calibri"/>
        <w:b/>
        <w:i/>
        <w:sz w:val="22"/>
        <w:szCs w:val="22"/>
      </w:rPr>
      <w:t>@</w:t>
    </w:r>
    <w:r>
      <w:rPr>
        <w:rFonts w:ascii="Calibri" w:eastAsia="Calibri" w:hAnsi="Calibri" w:cs="Calibri"/>
        <w:i/>
        <w:sz w:val="22"/>
        <w:szCs w:val="22"/>
      </w:rPr>
      <w:t xml:space="preserve">larkhallprimary   </w:t>
    </w:r>
    <w:r>
      <w:rPr>
        <w:rFonts w:ascii="Calibri" w:eastAsia="Calibri" w:hAnsi="Calibri" w:cs="Calibri"/>
        <w:i/>
        <w:noProof/>
        <w:sz w:val="20"/>
        <w:szCs w:val="20"/>
      </w:rPr>
      <w:drawing>
        <wp:inline distT="114300" distB="114300" distL="114300" distR="114300">
          <wp:extent cx="190500" cy="1905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90500" cy="190500"/>
                  </a:xfrm>
                  <a:prstGeom prst="rect">
                    <a:avLst/>
                  </a:prstGeom>
                  <a:ln/>
                </pic:spPr>
              </pic:pic>
            </a:graphicData>
          </a:graphic>
        </wp:inline>
      </w:drawing>
    </w:r>
  </w:p>
  <w:p w:rsidR="00D4437A" w:rsidRDefault="00D4437A">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37A" w:rsidRDefault="00D4437A">
      <w:r>
        <w:separator/>
      </w:r>
    </w:p>
  </w:footnote>
  <w:footnote w:type="continuationSeparator" w:id="0">
    <w:p w:rsidR="00D4437A" w:rsidRDefault="00D443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7A" w:rsidRDefault="00D4437A">
    <w:pPr>
      <w:pBdr>
        <w:top w:val="nil"/>
        <w:left w:val="nil"/>
        <w:bottom w:val="nil"/>
        <w:right w:val="nil"/>
        <w:between w:val="nil"/>
      </w:pBdr>
      <w:rPr>
        <w:rFonts w:ascii="Calibri" w:eastAsia="Calibri" w:hAnsi="Calibri" w:cs="Calibri"/>
        <w:b/>
        <w:color w:val="000080"/>
      </w:rPr>
    </w:pPr>
    <w:r>
      <w:rPr>
        <w:noProof/>
      </w:rPr>
      <w:drawing>
        <wp:anchor distT="114300" distB="114300" distL="114300" distR="114300" simplePos="0" relativeHeight="251658240" behindDoc="0" locked="0" layoutInCell="1" hidden="0" allowOverlap="1">
          <wp:simplePos x="0" y="0"/>
          <wp:positionH relativeFrom="column">
            <wp:posOffset>5191125</wp:posOffset>
          </wp:positionH>
          <wp:positionV relativeFrom="paragraph">
            <wp:posOffset>142875</wp:posOffset>
          </wp:positionV>
          <wp:extent cx="666750" cy="666750"/>
          <wp:effectExtent l="0" t="0" r="0" b="0"/>
          <wp:wrapTopAndBottom distT="114300" distB="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6750" cy="66675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2628900</wp:posOffset>
          </wp:positionH>
          <wp:positionV relativeFrom="paragraph">
            <wp:posOffset>195263</wp:posOffset>
          </wp:positionV>
          <wp:extent cx="552450" cy="552450"/>
          <wp:effectExtent l="0" t="0" r="0" b="0"/>
          <wp:wrapSquare wrapText="bothSides" distT="114300" distB="114300" distL="114300" distR="114300"/>
          <wp:docPr id="8" name="image8.jpg" descr="SG-L1-3-mark-2017-silver.jpg"/>
          <wp:cNvGraphicFramePr/>
          <a:graphic xmlns:a="http://schemas.openxmlformats.org/drawingml/2006/main">
            <a:graphicData uri="http://schemas.openxmlformats.org/drawingml/2006/picture">
              <pic:pic xmlns:pic="http://schemas.openxmlformats.org/drawingml/2006/picture">
                <pic:nvPicPr>
                  <pic:cNvPr id="0" name="image8.jpg" descr="SG-L1-3-mark-2017-silver.jpg"/>
                  <pic:cNvPicPr preferRelativeResize="0"/>
                </pic:nvPicPr>
                <pic:blipFill>
                  <a:blip r:embed="rId2"/>
                  <a:srcRect/>
                  <a:stretch>
                    <a:fillRect/>
                  </a:stretch>
                </pic:blipFill>
                <pic:spPr>
                  <a:xfrm>
                    <a:off x="0" y="0"/>
                    <a:ext cx="552450" cy="55245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3257550</wp:posOffset>
          </wp:positionH>
          <wp:positionV relativeFrom="paragraph">
            <wp:posOffset>171450</wp:posOffset>
          </wp:positionV>
          <wp:extent cx="1766253" cy="600075"/>
          <wp:effectExtent l="0" t="0" r="0" b="0"/>
          <wp:wrapSquare wrapText="bothSides" distT="114300" distB="11430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1766253" cy="60007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-761996</wp:posOffset>
          </wp:positionH>
          <wp:positionV relativeFrom="paragraph">
            <wp:posOffset>47625</wp:posOffset>
          </wp:positionV>
          <wp:extent cx="866140" cy="84264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66140" cy="84264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180975</wp:posOffset>
          </wp:positionH>
          <wp:positionV relativeFrom="paragraph">
            <wp:posOffset>228600</wp:posOffset>
          </wp:positionV>
          <wp:extent cx="1413828" cy="477914"/>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t="26197" b="31598"/>
                  <a:stretch>
                    <a:fillRect/>
                  </a:stretch>
                </pic:blipFill>
                <pic:spPr>
                  <a:xfrm>
                    <a:off x="0" y="0"/>
                    <a:ext cx="1413828" cy="477914"/>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simplePos x="0" y="0"/>
          <wp:positionH relativeFrom="column">
            <wp:posOffset>1809750</wp:posOffset>
          </wp:positionH>
          <wp:positionV relativeFrom="paragraph">
            <wp:posOffset>166688</wp:posOffset>
          </wp:positionV>
          <wp:extent cx="604471" cy="595313"/>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04471" cy="595313"/>
                  </a:xfrm>
                  <a:prstGeom prst="rect">
                    <a:avLst/>
                  </a:prstGeom>
                  <a:ln/>
                </pic:spPr>
              </pic:pic>
            </a:graphicData>
          </a:graphic>
        </wp:anchor>
      </w:drawing>
    </w:r>
  </w:p>
  <w:tbl>
    <w:tblPr>
      <w:tblStyle w:val="a"/>
      <w:tblW w:w="9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360"/>
      <w:gridCol w:w="1386"/>
      <w:gridCol w:w="1220"/>
      <w:gridCol w:w="1067"/>
      <w:gridCol w:w="1081"/>
      <w:gridCol w:w="1081"/>
      <w:gridCol w:w="1081"/>
      <w:gridCol w:w="1081"/>
    </w:tblGrid>
    <w:tr w:rsidR="00D4437A">
      <w:trPr>
        <w:jc w:val="center"/>
      </w:trPr>
      <w:tc>
        <w:tcPr>
          <w:tcW w:w="1358" w:type="dxa"/>
          <w:shd w:val="clear" w:color="auto" w:fill="auto"/>
          <w:tcMar>
            <w:top w:w="100" w:type="dxa"/>
            <w:left w:w="100" w:type="dxa"/>
            <w:bottom w:w="100" w:type="dxa"/>
            <w:right w:w="100" w:type="dxa"/>
          </w:tcMar>
        </w:tcPr>
        <w:p w:rsidR="00D4437A" w:rsidRDefault="00D4437A">
          <w:pPr>
            <w:widowControl w:val="0"/>
            <w:pBdr>
              <w:top w:val="nil"/>
              <w:left w:val="nil"/>
              <w:bottom w:val="nil"/>
              <w:right w:val="nil"/>
              <w:between w:val="nil"/>
            </w:pBdr>
            <w:rPr>
              <w:rFonts w:ascii="Calibri" w:eastAsia="Calibri" w:hAnsi="Calibri" w:cs="Calibri"/>
              <w:b/>
              <w:color w:val="000080"/>
              <w:sz w:val="18"/>
              <w:szCs w:val="18"/>
            </w:rPr>
          </w:pPr>
          <w:r>
            <w:rPr>
              <w:rFonts w:ascii="Calibri" w:eastAsia="Calibri" w:hAnsi="Calibri" w:cs="Calibri"/>
              <w:b/>
              <w:color w:val="000080"/>
              <w:sz w:val="18"/>
              <w:szCs w:val="18"/>
            </w:rPr>
            <w:t>Headteacher</w:t>
          </w:r>
        </w:p>
      </w:tc>
      <w:tc>
        <w:tcPr>
          <w:tcW w:w="1385" w:type="dxa"/>
          <w:shd w:val="clear" w:color="auto" w:fill="auto"/>
          <w:tcMar>
            <w:top w:w="100" w:type="dxa"/>
            <w:left w:w="100" w:type="dxa"/>
            <w:bottom w:w="100" w:type="dxa"/>
            <w:right w:w="100" w:type="dxa"/>
          </w:tcMar>
        </w:tcPr>
        <w:p w:rsidR="00D4437A" w:rsidRDefault="00D4437A">
          <w:pPr>
            <w:widowControl w:val="0"/>
            <w:pBdr>
              <w:top w:val="nil"/>
              <w:left w:val="nil"/>
              <w:bottom w:val="nil"/>
              <w:right w:val="nil"/>
              <w:between w:val="nil"/>
            </w:pBdr>
            <w:rPr>
              <w:rFonts w:ascii="Calibri" w:eastAsia="Calibri" w:hAnsi="Calibri" w:cs="Calibri"/>
              <w:b/>
              <w:color w:val="000080"/>
              <w:sz w:val="18"/>
              <w:szCs w:val="18"/>
            </w:rPr>
          </w:pPr>
          <w:r>
            <w:rPr>
              <w:rFonts w:ascii="Calibri" w:eastAsia="Calibri" w:hAnsi="Calibri" w:cs="Calibri"/>
              <w:b/>
              <w:color w:val="000080"/>
              <w:sz w:val="18"/>
              <w:szCs w:val="18"/>
            </w:rPr>
            <w:t>Deputy Head</w:t>
          </w:r>
        </w:p>
      </w:tc>
      <w:tc>
        <w:tcPr>
          <w:tcW w:w="6610" w:type="dxa"/>
          <w:gridSpan w:val="6"/>
          <w:shd w:val="clear" w:color="auto" w:fill="auto"/>
          <w:tcMar>
            <w:top w:w="100" w:type="dxa"/>
            <w:left w:w="100" w:type="dxa"/>
            <w:bottom w:w="100" w:type="dxa"/>
            <w:right w:w="100" w:type="dxa"/>
          </w:tcMar>
        </w:tcPr>
        <w:p w:rsidR="00D4437A" w:rsidRDefault="00D4437A">
          <w:pPr>
            <w:widowControl w:val="0"/>
            <w:pBdr>
              <w:top w:val="nil"/>
              <w:left w:val="nil"/>
              <w:bottom w:val="nil"/>
              <w:right w:val="nil"/>
              <w:between w:val="nil"/>
            </w:pBdr>
            <w:jc w:val="center"/>
            <w:rPr>
              <w:rFonts w:ascii="Calibri" w:eastAsia="Calibri" w:hAnsi="Calibri" w:cs="Calibri"/>
              <w:b/>
              <w:color w:val="000080"/>
              <w:sz w:val="18"/>
              <w:szCs w:val="18"/>
            </w:rPr>
          </w:pPr>
          <w:r>
            <w:rPr>
              <w:rFonts w:ascii="Calibri" w:eastAsia="Calibri" w:hAnsi="Calibri" w:cs="Calibri"/>
              <w:b/>
              <w:color w:val="000080"/>
              <w:sz w:val="18"/>
              <w:szCs w:val="18"/>
            </w:rPr>
            <w:t>Assistant         Headteachers</w:t>
          </w:r>
        </w:p>
      </w:tc>
    </w:tr>
    <w:tr w:rsidR="00D4437A">
      <w:trPr>
        <w:trHeight w:val="380"/>
        <w:jc w:val="center"/>
      </w:trPr>
      <w:tc>
        <w:tcPr>
          <w:tcW w:w="1358" w:type="dxa"/>
          <w:shd w:val="clear" w:color="auto" w:fill="auto"/>
          <w:tcMar>
            <w:top w:w="100" w:type="dxa"/>
            <w:left w:w="100" w:type="dxa"/>
            <w:bottom w:w="100" w:type="dxa"/>
            <w:right w:w="100" w:type="dxa"/>
          </w:tcMar>
        </w:tcPr>
        <w:p w:rsidR="00D4437A" w:rsidRDefault="00D4437A">
          <w:pPr>
            <w:widowControl w:val="0"/>
            <w:pBdr>
              <w:top w:val="nil"/>
              <w:left w:val="nil"/>
              <w:bottom w:val="nil"/>
              <w:right w:val="nil"/>
              <w:between w:val="nil"/>
            </w:pBdr>
            <w:rPr>
              <w:rFonts w:ascii="Calibri" w:eastAsia="Calibri" w:hAnsi="Calibri" w:cs="Calibri"/>
              <w:b/>
              <w:color w:val="000080"/>
              <w:sz w:val="18"/>
              <w:szCs w:val="18"/>
            </w:rPr>
          </w:pPr>
          <w:r>
            <w:rPr>
              <w:rFonts w:ascii="Calibri" w:eastAsia="Calibri" w:hAnsi="Calibri" w:cs="Calibri"/>
              <w:b/>
              <w:color w:val="000080"/>
              <w:sz w:val="18"/>
              <w:szCs w:val="18"/>
            </w:rPr>
            <w:t>Gary Nichol</w:t>
          </w:r>
        </w:p>
      </w:tc>
      <w:tc>
        <w:tcPr>
          <w:tcW w:w="1385" w:type="dxa"/>
          <w:shd w:val="clear" w:color="auto" w:fill="auto"/>
          <w:tcMar>
            <w:top w:w="100" w:type="dxa"/>
            <w:left w:w="100" w:type="dxa"/>
            <w:bottom w:w="100" w:type="dxa"/>
            <w:right w:w="100" w:type="dxa"/>
          </w:tcMar>
        </w:tcPr>
        <w:p w:rsidR="00D4437A" w:rsidRDefault="00D4437A">
          <w:pPr>
            <w:widowControl w:val="0"/>
            <w:rPr>
              <w:rFonts w:ascii="Calibri" w:eastAsia="Calibri" w:hAnsi="Calibri" w:cs="Calibri"/>
              <w:b/>
              <w:color w:val="000080"/>
              <w:sz w:val="18"/>
              <w:szCs w:val="18"/>
            </w:rPr>
          </w:pPr>
          <w:r>
            <w:rPr>
              <w:rFonts w:ascii="Calibri" w:eastAsia="Calibri" w:hAnsi="Calibri" w:cs="Calibri"/>
              <w:b/>
              <w:color w:val="000080"/>
              <w:sz w:val="18"/>
              <w:szCs w:val="18"/>
            </w:rPr>
            <w:t>Victoria Bassett</w:t>
          </w:r>
        </w:p>
      </w:tc>
      <w:tc>
        <w:tcPr>
          <w:tcW w:w="1219" w:type="dxa"/>
          <w:shd w:val="clear" w:color="auto" w:fill="auto"/>
          <w:tcMar>
            <w:top w:w="100" w:type="dxa"/>
            <w:left w:w="100" w:type="dxa"/>
            <w:bottom w:w="100" w:type="dxa"/>
            <w:right w:w="100" w:type="dxa"/>
          </w:tcMar>
        </w:tcPr>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 xml:space="preserve">        Jon </w:t>
          </w:r>
        </w:p>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 xml:space="preserve">        Powles</w:t>
          </w:r>
        </w:p>
      </w:tc>
      <w:tc>
        <w:tcPr>
          <w:tcW w:w="1067" w:type="dxa"/>
          <w:shd w:val="clear" w:color="auto" w:fill="auto"/>
          <w:tcMar>
            <w:top w:w="100" w:type="dxa"/>
            <w:left w:w="100" w:type="dxa"/>
            <w:bottom w:w="100" w:type="dxa"/>
            <w:right w:w="100" w:type="dxa"/>
          </w:tcMar>
        </w:tcPr>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Ceinwen</w:t>
          </w:r>
        </w:p>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Adeusi</w:t>
          </w:r>
        </w:p>
      </w:tc>
      <w:tc>
        <w:tcPr>
          <w:tcW w:w="1081" w:type="dxa"/>
          <w:shd w:val="clear" w:color="auto" w:fill="auto"/>
          <w:tcMar>
            <w:top w:w="100" w:type="dxa"/>
            <w:left w:w="100" w:type="dxa"/>
            <w:bottom w:w="100" w:type="dxa"/>
            <w:right w:w="100" w:type="dxa"/>
          </w:tcMar>
        </w:tcPr>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 xml:space="preserve">Ola </w:t>
          </w:r>
        </w:p>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Watson</w:t>
          </w:r>
        </w:p>
        <w:p w:rsidR="00D4437A" w:rsidRDefault="00D4437A">
          <w:pPr>
            <w:widowControl w:val="0"/>
            <w:jc w:val="center"/>
            <w:rPr>
              <w:rFonts w:ascii="Calibri" w:eastAsia="Calibri" w:hAnsi="Calibri" w:cs="Calibri"/>
              <w:b/>
              <w:color w:val="000080"/>
              <w:sz w:val="18"/>
              <w:szCs w:val="18"/>
            </w:rPr>
          </w:pPr>
        </w:p>
      </w:tc>
      <w:tc>
        <w:tcPr>
          <w:tcW w:w="1081" w:type="dxa"/>
          <w:shd w:val="clear" w:color="auto" w:fill="auto"/>
          <w:tcMar>
            <w:top w:w="100" w:type="dxa"/>
            <w:left w:w="100" w:type="dxa"/>
            <w:bottom w:w="100" w:type="dxa"/>
            <w:right w:w="100" w:type="dxa"/>
          </w:tcMar>
        </w:tcPr>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Sam Phillips</w:t>
          </w:r>
        </w:p>
      </w:tc>
      <w:tc>
        <w:tcPr>
          <w:tcW w:w="1081" w:type="dxa"/>
          <w:shd w:val="clear" w:color="auto" w:fill="auto"/>
          <w:tcMar>
            <w:top w:w="100" w:type="dxa"/>
            <w:left w:w="100" w:type="dxa"/>
            <w:bottom w:w="100" w:type="dxa"/>
            <w:right w:w="100" w:type="dxa"/>
          </w:tcMar>
        </w:tcPr>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Beccie Powles</w:t>
          </w:r>
        </w:p>
      </w:tc>
      <w:tc>
        <w:tcPr>
          <w:tcW w:w="1081" w:type="dxa"/>
          <w:shd w:val="clear" w:color="auto" w:fill="auto"/>
          <w:tcMar>
            <w:top w:w="100" w:type="dxa"/>
            <w:left w:w="100" w:type="dxa"/>
            <w:bottom w:w="100" w:type="dxa"/>
            <w:right w:w="100" w:type="dxa"/>
          </w:tcMar>
        </w:tcPr>
        <w:p w:rsidR="00D4437A" w:rsidRDefault="00D4437A">
          <w:pPr>
            <w:widowControl w:val="0"/>
            <w:jc w:val="center"/>
            <w:rPr>
              <w:rFonts w:ascii="Calibri" w:eastAsia="Calibri" w:hAnsi="Calibri" w:cs="Calibri"/>
              <w:b/>
              <w:color w:val="000080"/>
              <w:sz w:val="18"/>
              <w:szCs w:val="18"/>
            </w:rPr>
          </w:pPr>
          <w:r>
            <w:rPr>
              <w:rFonts w:ascii="Calibri" w:eastAsia="Calibri" w:hAnsi="Calibri" w:cs="Calibri"/>
              <w:b/>
              <w:color w:val="000080"/>
              <w:sz w:val="18"/>
              <w:szCs w:val="18"/>
            </w:rPr>
            <w:t>Sam Witchalls</w:t>
          </w:r>
        </w:p>
      </w:tc>
    </w:tr>
  </w:tbl>
  <w:p w:rsidR="00D4437A" w:rsidRDefault="00D4437A">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2F"/>
    <w:rsid w:val="00040755"/>
    <w:rsid w:val="0004762F"/>
    <w:rsid w:val="0010060F"/>
    <w:rsid w:val="00191739"/>
    <w:rsid w:val="002C2353"/>
    <w:rsid w:val="00657557"/>
    <w:rsid w:val="006D1334"/>
    <w:rsid w:val="007D1F32"/>
    <w:rsid w:val="008F424D"/>
    <w:rsid w:val="00A03C7D"/>
    <w:rsid w:val="00A510E7"/>
    <w:rsid w:val="00BA2087"/>
    <w:rsid w:val="00BF1E80"/>
    <w:rsid w:val="00BF283D"/>
    <w:rsid w:val="00BF6323"/>
    <w:rsid w:val="00C92C1C"/>
    <w:rsid w:val="00CC1988"/>
    <w:rsid w:val="00D4437A"/>
    <w:rsid w:val="00ED2E45"/>
    <w:rsid w:val="00F51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1A5C4-6508-4D43-9C3C-64E73F4B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color w:val="000000"/>
      <w:sz w:val="20"/>
      <w:szCs w:val="20"/>
      <w:u w:val="single"/>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rsid w:val="008F424D"/>
    <w:pPr>
      <w:tabs>
        <w:tab w:val="center" w:pos="4819"/>
        <w:tab w:val="right" w:pos="9071"/>
      </w:tabs>
    </w:pPr>
    <w:rPr>
      <w:rFonts w:ascii="Univers (W1)" w:hAnsi="Univers (W1)"/>
      <w:szCs w:val="20"/>
      <w:lang w:eastAsia="en-US"/>
    </w:rPr>
  </w:style>
  <w:style w:type="character" w:customStyle="1" w:styleId="FooterChar">
    <w:name w:val="Footer Char"/>
    <w:basedOn w:val="DefaultParagraphFont"/>
    <w:link w:val="Footer"/>
    <w:rsid w:val="008F424D"/>
    <w:rPr>
      <w:rFonts w:ascii="Univers (W1)" w:hAnsi="Univers (W1)"/>
      <w:szCs w:val="20"/>
      <w:lang w:eastAsia="en-US"/>
    </w:rPr>
  </w:style>
  <w:style w:type="character" w:styleId="Hyperlink">
    <w:name w:val="Hyperlink"/>
    <w:basedOn w:val="DefaultParagraphFont"/>
    <w:uiPriority w:val="99"/>
    <w:unhideWhenUsed/>
    <w:rsid w:val="00CC1988"/>
    <w:rPr>
      <w:color w:val="0000FF" w:themeColor="hyperlink"/>
      <w:u w:val="single"/>
    </w:rPr>
  </w:style>
  <w:style w:type="paragraph" w:styleId="NoSpacing">
    <w:name w:val="No Spacing"/>
    <w:uiPriority w:val="1"/>
    <w:qFormat/>
    <w:rsid w:val="00ED2E45"/>
  </w:style>
  <w:style w:type="paragraph" w:styleId="BalloonText">
    <w:name w:val="Balloon Text"/>
    <w:basedOn w:val="Normal"/>
    <w:link w:val="BalloonTextChar"/>
    <w:uiPriority w:val="99"/>
    <w:semiHidden/>
    <w:unhideWhenUsed/>
    <w:rsid w:val="00ED2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572535">
      <w:bodyDiv w:val="1"/>
      <w:marLeft w:val="0"/>
      <w:marRight w:val="0"/>
      <w:marTop w:val="0"/>
      <w:marBottom w:val="0"/>
      <w:divBdr>
        <w:top w:val="none" w:sz="0" w:space="0" w:color="auto"/>
        <w:left w:val="none" w:sz="0" w:space="0" w:color="auto"/>
        <w:bottom w:val="none" w:sz="0" w:space="0" w:color="auto"/>
        <w:right w:val="none" w:sz="0" w:space="0" w:color="auto"/>
      </w:divBdr>
    </w:div>
    <w:div w:id="15016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larkhall.lambeth.sch.uk" TargetMode="External"/><Relationship Id="rId1" Type="http://schemas.openxmlformats.org/officeDocument/2006/relationships/hyperlink" Target="mailto:admin@larkhall.lambeth.sch.uk"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7FCA7C8.dotm</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Larkhall Primary School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dc:creator>
  <cp:lastModifiedBy>Deepika</cp:lastModifiedBy>
  <cp:revision>2</cp:revision>
  <cp:lastPrinted>2020-11-20T11:39:00Z</cp:lastPrinted>
  <dcterms:created xsi:type="dcterms:W3CDTF">2021-05-13T10:57:00Z</dcterms:created>
  <dcterms:modified xsi:type="dcterms:W3CDTF">2021-05-13T10:57:00Z</dcterms:modified>
</cp:coreProperties>
</file>