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Mathematics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 set out in the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Teachers’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handbook and contract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Maths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the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 To set up, run and oversee whole school Mathematics.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/ Head of 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and, where appropriate, other members of the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class teacher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Curriculum, Edexce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 or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Oxfor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 AQA International IGCSE/A Level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differentiated learning for all children in the 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each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schemes of work, assessments and other information required, available to the Deputy Head / Head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by the specified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Assistant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 To write an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Assist with whole school events and host any events involving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cover for absent colleagues when necessary, as directed by the Deputy Head/Head of Secondary.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 Monitor and develop the personal and social development of all students in a given tutor group.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Teaching: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ability to offer a second subject and the flexibility to teach other subjects may be required.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and the Head of School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