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120" w:before="120" w:lineRule="auto"/>
        <w:ind w:left="360" w:firstLine="0"/>
        <w:jc w:val="right"/>
        <w:rPr>
          <w:rFonts w:ascii="PT Sans" w:cs="PT Sans" w:eastAsia="PT Sans" w:hAnsi="PT Sans"/>
          <w:color w:val="365f91"/>
          <w:sz w:val="22"/>
          <w:szCs w:val="22"/>
        </w:rPr>
      </w:pPr>
      <w:r w:rsidDel="00000000" w:rsidR="00000000" w:rsidRPr="00000000">
        <w:rPr>
          <w:rtl w:val="0"/>
        </w:rPr>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4">
      <w:pPr>
        <w:ind w:left="0" w:firstLine="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ab/>
        <w:t xml:space="preserve"> Teacher</w:t>
      </w: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Tendring Technology College</w:t>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Full Time</w:t>
      </w:r>
      <w:r w:rsidDel="00000000" w:rsidR="00000000" w:rsidRPr="00000000">
        <w:rPr>
          <w:rtl w:val="0"/>
        </w:rPr>
      </w:r>
    </w:p>
    <w:p w:rsidR="00000000" w:rsidDel="00000000" w:rsidP="00000000" w:rsidRDefault="00000000" w:rsidRPr="00000000" w14:paraId="00000009">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Reports to:</w:t>
        <w:tab/>
        <w:tab/>
        <w:t xml:space="preserve">Faculty Leader / Subject Leader</w:t>
      </w:r>
    </w:p>
    <w:p w:rsidR="00000000" w:rsidDel="00000000" w:rsidP="00000000" w:rsidRDefault="00000000" w:rsidRPr="00000000" w14:paraId="0000000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E">
      <w:pPr>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Teachers will meet the professional standards for teachers in relation to both their teaching and their personal and professional conduct</w:t>
      </w:r>
      <w:r w:rsidDel="00000000" w:rsidR="00000000" w:rsidRPr="00000000">
        <w:rPr>
          <w:rtl w:val="0"/>
        </w:rPr>
      </w:r>
    </w:p>
    <w:p w:rsidR="00000000" w:rsidDel="00000000" w:rsidP="00000000" w:rsidRDefault="00000000" w:rsidRPr="00000000" w14:paraId="0000000F">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0">
      <w:pPr>
        <w:jc w:val="both"/>
        <w:rPr>
          <w:rFonts w:ascii="PT Sans" w:cs="PT Sans" w:eastAsia="PT Sans" w:hAnsi="PT Sans"/>
          <w:b w:val="1"/>
          <w:sz w:val="22"/>
          <w:szCs w:val="22"/>
          <w:u w:val="single"/>
        </w:rPr>
      </w:pPr>
      <w:r w:rsidDel="00000000" w:rsidR="00000000" w:rsidRPr="00000000">
        <w:rPr>
          <w:rFonts w:ascii="PT Sans" w:cs="PT Sans" w:eastAsia="PT Sans" w:hAnsi="PT Sans"/>
          <w:sz w:val="22"/>
          <w:szCs w:val="22"/>
          <w:rtl w:val="0"/>
        </w:rPr>
        <w:t xml:space="preserve">We’re passionate about the future of our children and the privilege we hold in shaping their learning and potential – we expect you to be too!</w:t>
      </w:r>
      <w:r w:rsidDel="00000000" w:rsidR="00000000" w:rsidRPr="00000000">
        <w:rPr>
          <w:rtl w:val="0"/>
        </w:rPr>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4">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TMS teacher is responsible for:</w:t>
      </w:r>
    </w:p>
    <w:p w:rsidR="00000000" w:rsidDel="00000000" w:rsidP="00000000" w:rsidRDefault="00000000" w:rsidRPr="00000000" w14:paraId="00000015">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6">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Their own Professional Development</w:t>
      </w:r>
    </w:p>
    <w:p w:rsidR="00000000" w:rsidDel="00000000" w:rsidP="00000000" w:rsidRDefault="00000000" w:rsidRPr="00000000" w14:paraId="00000017">
      <w:pPr>
        <w:numPr>
          <w:ilvl w:val="0"/>
          <w:numId w:val="1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keeping up to date with research and developments in pedagogy and in any subjects taught, raising, when appropriate, issues with VP / AP Curriculum</w:t>
      </w:r>
    </w:p>
    <w:p w:rsidR="00000000" w:rsidDel="00000000" w:rsidP="00000000" w:rsidRDefault="00000000" w:rsidRPr="00000000" w14:paraId="00000018">
      <w:pPr>
        <w:numPr>
          <w:ilvl w:val="0"/>
          <w:numId w:val="1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evaluating their own teaching critically and use this to improve their effectiveness</w:t>
      </w:r>
    </w:p>
    <w:p w:rsidR="00000000" w:rsidDel="00000000" w:rsidP="00000000" w:rsidRDefault="00000000" w:rsidRPr="00000000" w14:paraId="00000019">
      <w:pPr>
        <w:numPr>
          <w:ilvl w:val="0"/>
          <w:numId w:val="1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building up a thorough understanding of their professional responsibilities in relation to school policies and practices</w:t>
      </w:r>
    </w:p>
    <w:p w:rsidR="00000000" w:rsidDel="00000000" w:rsidP="00000000" w:rsidRDefault="00000000" w:rsidRPr="00000000" w14:paraId="0000001A">
      <w:pPr>
        <w:numPr>
          <w:ilvl w:val="0"/>
          <w:numId w:val="1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a good example to the pupils they teach in their presentation and their personal conduct</w:t>
      </w:r>
    </w:p>
    <w:p w:rsidR="00000000" w:rsidDel="00000000" w:rsidP="00000000" w:rsidRDefault="00000000" w:rsidRPr="00000000" w14:paraId="0000001B">
      <w:pPr>
        <w:numPr>
          <w:ilvl w:val="0"/>
          <w:numId w:val="1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participating in Performance Management arrangements</w:t>
      </w:r>
    </w:p>
    <w:p w:rsidR="00000000" w:rsidDel="00000000" w:rsidP="00000000" w:rsidRDefault="00000000" w:rsidRPr="00000000" w14:paraId="0000001C">
      <w:pPr>
        <w:jc w:val="both"/>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D">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Teaching and Managing Pupil Learning</w:t>
      </w:r>
    </w:p>
    <w:p w:rsidR="00000000" w:rsidDel="00000000" w:rsidP="00000000" w:rsidRDefault="00000000" w:rsidRPr="00000000" w14:paraId="0000001E">
      <w:pPr>
        <w:numPr>
          <w:ilvl w:val="0"/>
          <w:numId w:val="1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identifying clear teaching objectives, content, lesson structures and sequences appropriate to the subject matter and the pupils being taught</w:t>
      </w:r>
    </w:p>
    <w:p w:rsidR="00000000" w:rsidDel="00000000" w:rsidP="00000000" w:rsidRDefault="00000000" w:rsidRPr="00000000" w14:paraId="0000001F">
      <w:pPr>
        <w:numPr>
          <w:ilvl w:val="0"/>
          <w:numId w:val="1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appropriate and demanding expectations for pupils’ learning and motivation</w:t>
      </w:r>
    </w:p>
    <w:p w:rsidR="00000000" w:rsidDel="00000000" w:rsidP="00000000" w:rsidRDefault="00000000" w:rsidRPr="00000000" w14:paraId="00000020">
      <w:pPr>
        <w:numPr>
          <w:ilvl w:val="0"/>
          <w:numId w:val="1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clear targets for pupils' learning, building on prior attainment and considering each pupil as an individual</w:t>
      </w:r>
    </w:p>
    <w:p w:rsidR="00000000" w:rsidDel="00000000" w:rsidP="00000000" w:rsidRDefault="00000000" w:rsidRPr="00000000" w14:paraId="00000021">
      <w:pPr>
        <w:numPr>
          <w:ilvl w:val="0"/>
          <w:numId w:val="1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effective teaching of whole classes, groups and individuals so that teaching objectives are met, momentum and challenge are maintained, and best use is made of teaching time</w:t>
      </w:r>
    </w:p>
    <w:p w:rsidR="00000000" w:rsidDel="00000000" w:rsidP="00000000" w:rsidRDefault="00000000" w:rsidRPr="00000000" w14:paraId="00000022">
      <w:pPr>
        <w:numPr>
          <w:ilvl w:val="0"/>
          <w:numId w:val="1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using teaching methods which keep pupils engaged, including stimulating pupils’ intellectual curiosity, effective questioning and response, clear presentation and good use of resources </w:t>
      </w:r>
    </w:p>
    <w:p w:rsidR="00000000" w:rsidDel="00000000" w:rsidP="00000000" w:rsidRDefault="00000000" w:rsidRPr="00000000" w14:paraId="00000023">
      <w:pPr>
        <w:numPr>
          <w:ilvl w:val="0"/>
          <w:numId w:val="1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high expectations for pupils' behaviour, establishing and maintaining a good standard of discipline through well-focused teaching and through positive and productive relationships</w:t>
      </w:r>
    </w:p>
    <w:p w:rsidR="00000000" w:rsidDel="00000000" w:rsidP="00000000" w:rsidRDefault="00000000" w:rsidRPr="00000000" w14:paraId="00000024">
      <w:pPr>
        <w:numPr>
          <w:ilvl w:val="0"/>
          <w:numId w:val="1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Adapt teaching methodology to ensure that SEND and PP students make at least good progress</w:t>
      </w:r>
    </w:p>
    <w:p w:rsidR="00000000" w:rsidDel="00000000" w:rsidP="00000000" w:rsidRDefault="00000000" w:rsidRPr="00000000" w14:paraId="00000025">
      <w:pPr>
        <w:numPr>
          <w:ilvl w:val="0"/>
          <w:numId w:val="1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pupils are thoroughly prepared for their examinations and that any examination coursework is completed and marked according to examination board and departmental criteria</w:t>
      </w:r>
    </w:p>
    <w:p w:rsidR="00000000" w:rsidDel="00000000" w:rsidP="00000000" w:rsidRDefault="00000000" w:rsidRPr="00000000" w14:paraId="00000026">
      <w:pPr>
        <w:numPr>
          <w:ilvl w:val="0"/>
          <w:numId w:val="1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examination board rule and regulations are fully complied with</w:t>
      </w:r>
    </w:p>
    <w:p w:rsidR="00000000" w:rsidDel="00000000" w:rsidP="00000000" w:rsidRDefault="00000000" w:rsidRPr="00000000" w14:paraId="00000027">
      <w:pPr>
        <w:numPr>
          <w:ilvl w:val="0"/>
          <w:numId w:val="1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liaising effectively with support staff working within Department</w:t>
      </w:r>
    </w:p>
    <w:p w:rsidR="00000000" w:rsidDel="00000000" w:rsidP="00000000" w:rsidRDefault="00000000" w:rsidRPr="00000000" w14:paraId="00000028">
      <w:pPr>
        <w:numPr>
          <w:ilvl w:val="0"/>
          <w:numId w:val="1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extra curricular activities to extend and challenge pupils for at least two after school sessions per week each of forty-five minutes</w:t>
      </w:r>
    </w:p>
    <w:p w:rsidR="00000000" w:rsidDel="00000000" w:rsidP="00000000" w:rsidRDefault="00000000" w:rsidRPr="00000000" w14:paraId="00000029">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A">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Tutorial Responsibilities</w:t>
      </w:r>
    </w:p>
    <w:p w:rsidR="00000000" w:rsidDel="00000000" w:rsidP="00000000" w:rsidRDefault="00000000" w:rsidRPr="00000000" w14:paraId="0000002B">
      <w:pPr>
        <w:numPr>
          <w:ilvl w:val="0"/>
          <w:numId w:val="1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establish relationships with students for all-round success and to promote their welfare</w:t>
      </w:r>
    </w:p>
    <w:p w:rsidR="00000000" w:rsidDel="00000000" w:rsidP="00000000" w:rsidRDefault="00000000" w:rsidRPr="00000000" w14:paraId="0000002C">
      <w:pPr>
        <w:numPr>
          <w:ilvl w:val="0"/>
          <w:numId w:val="1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mentor students including academic overview of progress and help set targets for improvement</w:t>
      </w:r>
    </w:p>
    <w:p w:rsidR="00000000" w:rsidDel="00000000" w:rsidP="00000000" w:rsidRDefault="00000000" w:rsidRPr="00000000" w14:paraId="0000002D">
      <w:pPr>
        <w:numPr>
          <w:ilvl w:val="0"/>
          <w:numId w:val="1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promote ethos of College community at all times</w:t>
      </w:r>
    </w:p>
    <w:p w:rsidR="00000000" w:rsidDel="00000000" w:rsidP="00000000" w:rsidRDefault="00000000" w:rsidRPr="00000000" w14:paraId="0000002E">
      <w:pPr>
        <w:numPr>
          <w:ilvl w:val="0"/>
          <w:numId w:val="1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physical, intellectual, emotional and social development of students via PSE and Tutorials</w:t>
      </w:r>
    </w:p>
    <w:p w:rsidR="00000000" w:rsidDel="00000000" w:rsidP="00000000" w:rsidRDefault="00000000" w:rsidRPr="00000000" w14:paraId="0000002F">
      <w:pPr>
        <w:numPr>
          <w:ilvl w:val="0"/>
          <w:numId w:val="1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carry out appropriate administrative tasks in support of tutorial role</w:t>
      </w:r>
    </w:p>
    <w:p w:rsidR="00000000" w:rsidDel="00000000" w:rsidP="00000000" w:rsidRDefault="00000000" w:rsidRPr="00000000" w14:paraId="00000030">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1">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Monitoring and Assessing Pupil Progress </w:t>
      </w:r>
    </w:p>
    <w:p w:rsidR="00000000" w:rsidDel="00000000" w:rsidP="00000000" w:rsidRDefault="00000000" w:rsidRPr="00000000" w14:paraId="00000032">
      <w:pPr>
        <w:numPr>
          <w:ilvl w:val="0"/>
          <w:numId w:val="15"/>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marking and monitoring pupils’ class and homework providing constructive oral and written feedback, setting targets for pupils’ progress</w:t>
      </w:r>
    </w:p>
    <w:p w:rsidR="00000000" w:rsidDel="00000000" w:rsidP="00000000" w:rsidRDefault="00000000" w:rsidRPr="00000000" w14:paraId="00000033">
      <w:pPr>
        <w:numPr>
          <w:ilvl w:val="0"/>
          <w:numId w:val="15"/>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assessing how well learning objectives have been achieved and use this assessment for future teaching</w:t>
      </w:r>
    </w:p>
    <w:p w:rsidR="00000000" w:rsidDel="00000000" w:rsidP="00000000" w:rsidRDefault="00000000" w:rsidRPr="00000000" w14:paraId="00000034">
      <w:pPr>
        <w:numPr>
          <w:ilvl w:val="0"/>
          <w:numId w:val="15"/>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maintaining full records of attendance, homework, attainment, achievement and examinations for pupils taught, including members of the tutor group</w:t>
      </w:r>
    </w:p>
    <w:p w:rsidR="00000000" w:rsidDel="00000000" w:rsidP="00000000" w:rsidRDefault="00000000" w:rsidRPr="00000000" w14:paraId="00000035">
      <w:pPr>
        <w:numPr>
          <w:ilvl w:val="0"/>
          <w:numId w:val="15"/>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producing and analysing  teaching group examination predictions and results as requested by the Faculty Leader / Subject Leader and the VP</w:t>
      </w:r>
    </w:p>
    <w:p w:rsidR="00000000" w:rsidDel="00000000" w:rsidP="00000000" w:rsidRDefault="00000000" w:rsidRPr="00000000" w14:paraId="00000036">
      <w:pPr>
        <w:numPr>
          <w:ilvl w:val="0"/>
          <w:numId w:val="15"/>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participating in departmental discussions of pupil targets and progress and of the development of strategies to meet departmental target</w:t>
      </w:r>
    </w:p>
    <w:p w:rsidR="00000000" w:rsidDel="00000000" w:rsidP="00000000" w:rsidRDefault="00000000" w:rsidRPr="00000000" w14:paraId="00000037">
      <w:pPr>
        <w:numPr>
          <w:ilvl w:val="0"/>
          <w:numId w:val="15"/>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overseeing the pastoral needs of all pupils taught and passing on any concerns to the appropriate member of staff </w:t>
      </w:r>
    </w:p>
    <w:p w:rsidR="00000000" w:rsidDel="00000000" w:rsidP="00000000" w:rsidRDefault="00000000" w:rsidRPr="00000000" w14:paraId="00000038">
      <w:pPr>
        <w:numPr>
          <w:ilvl w:val="0"/>
          <w:numId w:val="15"/>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mentoring and negotiating individual targets for tutees</w:t>
      </w:r>
    </w:p>
    <w:p w:rsidR="00000000" w:rsidDel="00000000" w:rsidP="00000000" w:rsidRDefault="00000000" w:rsidRPr="00000000" w14:paraId="00000039">
      <w:pPr>
        <w:ind w:left="720" w:firstLine="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A">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Resources within the Department </w:t>
      </w:r>
    </w:p>
    <w:p w:rsidR="00000000" w:rsidDel="00000000" w:rsidP="00000000" w:rsidRDefault="00000000" w:rsidRPr="00000000" w14:paraId="0000003B">
      <w:pPr>
        <w:numPr>
          <w:ilvl w:val="0"/>
          <w:numId w:val="12"/>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selecting and making good use of learning resources to enable teaching objectives to be met</w:t>
      </w:r>
    </w:p>
    <w:p w:rsidR="00000000" w:rsidDel="00000000" w:rsidP="00000000" w:rsidRDefault="00000000" w:rsidRPr="00000000" w14:paraId="0000003C">
      <w:pPr>
        <w:numPr>
          <w:ilvl w:val="0"/>
          <w:numId w:val="12"/>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stock and equipment is well cared for and economically used</w:t>
      </w:r>
    </w:p>
    <w:p w:rsidR="00000000" w:rsidDel="00000000" w:rsidP="00000000" w:rsidRDefault="00000000" w:rsidRPr="00000000" w14:paraId="0000003D">
      <w:pPr>
        <w:numPr>
          <w:ilvl w:val="0"/>
          <w:numId w:val="12"/>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departmental rooms present a stimulating and tidy environment</w:t>
      </w:r>
    </w:p>
    <w:p w:rsidR="00000000" w:rsidDel="00000000" w:rsidP="00000000" w:rsidRDefault="00000000" w:rsidRPr="00000000" w14:paraId="0000003E">
      <w:pPr>
        <w:numPr>
          <w:ilvl w:val="0"/>
          <w:numId w:val="12"/>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implementing the Academy Health and Safety Policy</w:t>
      </w:r>
    </w:p>
    <w:p w:rsidR="00000000" w:rsidDel="00000000" w:rsidP="00000000" w:rsidRDefault="00000000" w:rsidRPr="00000000" w14:paraId="0000003F">
      <w:pPr>
        <w:jc w:val="both"/>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40">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Communication with Parents</w:t>
      </w:r>
    </w:p>
    <w:p w:rsidR="00000000" w:rsidDel="00000000" w:rsidP="00000000" w:rsidRDefault="00000000" w:rsidRPr="00000000" w14:paraId="00000041">
      <w:pPr>
        <w:numPr>
          <w:ilvl w:val="0"/>
          <w:numId w:val="14"/>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attending any appropriate meetings with parents</w:t>
      </w:r>
    </w:p>
    <w:p w:rsidR="00000000" w:rsidDel="00000000" w:rsidP="00000000" w:rsidRDefault="00000000" w:rsidRPr="00000000" w14:paraId="00000042">
      <w:pPr>
        <w:numPr>
          <w:ilvl w:val="0"/>
          <w:numId w:val="14"/>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informative reports to parents</w:t>
      </w:r>
    </w:p>
    <w:p w:rsidR="00000000" w:rsidDel="00000000" w:rsidP="00000000" w:rsidRDefault="00000000" w:rsidRPr="00000000" w14:paraId="00000043">
      <w:pPr>
        <w:numPr>
          <w:ilvl w:val="0"/>
          <w:numId w:val="14"/>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raising, in consultation with the Director of Learning, particular concerns regarding tutees with parents</w:t>
      </w:r>
    </w:p>
    <w:p w:rsidR="00000000" w:rsidDel="00000000" w:rsidP="00000000" w:rsidRDefault="00000000" w:rsidRPr="00000000" w14:paraId="00000044">
      <w:pPr>
        <w:jc w:val="both"/>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45">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Internal Communication</w:t>
      </w:r>
    </w:p>
    <w:p w:rsidR="00000000" w:rsidDel="00000000" w:rsidP="00000000" w:rsidRDefault="00000000" w:rsidRPr="00000000" w14:paraId="00000046">
      <w:pPr>
        <w:numPr>
          <w:ilvl w:val="0"/>
          <w:numId w:val="13"/>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representing the views and interests of the Department to the Faculty Leader / Subject Leader and LG</w:t>
      </w:r>
    </w:p>
    <w:p w:rsidR="00000000" w:rsidDel="00000000" w:rsidP="00000000" w:rsidRDefault="00000000" w:rsidRPr="00000000" w14:paraId="00000047">
      <w:pPr>
        <w:numPr>
          <w:ilvl w:val="0"/>
          <w:numId w:val="13"/>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information required by FL, SL, DOL, SENCO or LG</w:t>
      </w:r>
    </w:p>
    <w:p w:rsidR="00000000" w:rsidDel="00000000" w:rsidP="00000000" w:rsidRDefault="00000000" w:rsidRPr="00000000" w14:paraId="00000048">
      <w:pPr>
        <w:numPr>
          <w:ilvl w:val="0"/>
          <w:numId w:val="13"/>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actively participating in Departmental Meetings </w:t>
      </w:r>
    </w:p>
    <w:p w:rsidR="00000000" w:rsidDel="00000000" w:rsidP="00000000" w:rsidRDefault="00000000" w:rsidRPr="00000000" w14:paraId="00000049">
      <w:pPr>
        <w:ind w:left="58" w:firstLine="0"/>
        <w:jc w:val="both"/>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4A">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Staff Absence</w:t>
      </w:r>
    </w:p>
    <w:p w:rsidR="00000000" w:rsidDel="00000000" w:rsidP="00000000" w:rsidRDefault="00000000" w:rsidRPr="00000000" w14:paraId="0000004B">
      <w:pPr>
        <w:numPr>
          <w:ilvl w:val="0"/>
          <w:numId w:val="20"/>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ensuring that appropriate work has been set and that the resources required are available</w:t>
      </w:r>
    </w:p>
    <w:p w:rsidR="00000000" w:rsidDel="00000000" w:rsidP="00000000" w:rsidRDefault="00000000" w:rsidRPr="00000000" w14:paraId="0000004C">
      <w:pPr>
        <w:numPr>
          <w:ilvl w:val="0"/>
          <w:numId w:val="20"/>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supporting supply staff who are working within the Department</w:t>
      </w:r>
    </w:p>
    <w:p w:rsidR="00000000" w:rsidDel="00000000" w:rsidP="00000000" w:rsidRDefault="00000000" w:rsidRPr="00000000" w14:paraId="0000004D">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E">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Additional Specific Responsibilities</w:t>
      </w:r>
    </w:p>
    <w:p w:rsidR="00000000" w:rsidDel="00000000" w:rsidP="00000000" w:rsidRDefault="00000000" w:rsidRPr="00000000" w14:paraId="0000004F">
      <w:pPr>
        <w:numPr>
          <w:ilvl w:val="0"/>
          <w:numId w:val="18"/>
        </w:numPr>
        <w:spacing w:after="0" w:afterAutospacing="0"/>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 negotiated with the FL/SL or DOL in the interests of the pupils and of the CPD of the member of staff </w:t>
      </w:r>
    </w:p>
    <w:p w:rsidR="00000000" w:rsidDel="00000000" w:rsidP="00000000" w:rsidRDefault="00000000" w:rsidRPr="00000000" w14:paraId="00000050">
      <w:pPr>
        <w:widowControl w:val="0"/>
        <w:numPr>
          <w:ilvl w:val="0"/>
          <w:numId w:val="18"/>
        </w:numPr>
        <w:pBdr>
          <w:top w:color="auto" w:space="0" w:sz="0" w:val="none"/>
        </w:pBdr>
        <w:spacing w:after="0" w:afterAutospacing="0" w:before="0" w:beforeAutospacing="0" w:line="276" w:lineRule="auto"/>
        <w:ind w:left="720" w:hanging="360"/>
        <w:rPr>
          <w:rFonts w:ascii="PT Sans" w:cs="PT Sans" w:eastAsia="PT Sans" w:hAnsi="PT Sans"/>
          <w:color w:val="212121"/>
          <w:sz w:val="22"/>
          <w:szCs w:val="22"/>
          <w:highlight w:val="white"/>
        </w:rPr>
      </w:pPr>
      <w:r w:rsidDel="00000000" w:rsidR="00000000" w:rsidRPr="00000000">
        <w:rPr>
          <w:rFonts w:ascii="PT Sans" w:cs="PT Sans" w:eastAsia="PT Sans" w:hAnsi="PT Sans"/>
          <w:color w:val="212121"/>
          <w:sz w:val="22"/>
          <w:szCs w:val="22"/>
          <w:highlight w:val="white"/>
          <w:rtl w:val="0"/>
        </w:rPr>
        <w:t xml:space="preserve">The progress and development of every pupil in their class, including those with SEND</w:t>
      </w:r>
    </w:p>
    <w:p w:rsidR="00000000" w:rsidDel="00000000" w:rsidP="00000000" w:rsidRDefault="00000000" w:rsidRPr="00000000" w14:paraId="00000051">
      <w:pPr>
        <w:widowControl w:val="0"/>
        <w:numPr>
          <w:ilvl w:val="0"/>
          <w:numId w:val="18"/>
        </w:numPr>
        <w:pBdr>
          <w:top w:color="auto" w:space="0" w:sz="0" w:val="none"/>
        </w:pBdr>
        <w:spacing w:after="0" w:afterAutospacing="0" w:before="0" w:beforeAutospacing="0" w:line="276" w:lineRule="auto"/>
        <w:ind w:left="720" w:hanging="360"/>
        <w:rPr>
          <w:rFonts w:ascii="PT Sans" w:cs="PT Sans" w:eastAsia="PT Sans" w:hAnsi="PT Sans"/>
          <w:color w:val="212121"/>
          <w:sz w:val="22"/>
          <w:szCs w:val="22"/>
          <w:highlight w:val="white"/>
        </w:rPr>
      </w:pPr>
      <w:r w:rsidDel="00000000" w:rsidR="00000000" w:rsidRPr="00000000">
        <w:rPr>
          <w:rFonts w:ascii="PT Sans" w:cs="PT Sans" w:eastAsia="PT Sans" w:hAnsi="PT Sans"/>
          <w:color w:val="212121"/>
          <w:sz w:val="22"/>
          <w:szCs w:val="22"/>
          <w:highlight w:val="white"/>
          <w:rtl w:val="0"/>
        </w:rPr>
        <w:t xml:space="preserve">Adapting teaching and curriculum for pupils with SEND and incorporating guidance provided by the SENDCo and external professionals.</w:t>
      </w:r>
    </w:p>
    <w:p w:rsidR="00000000" w:rsidDel="00000000" w:rsidP="00000000" w:rsidRDefault="00000000" w:rsidRPr="00000000" w14:paraId="00000052">
      <w:pPr>
        <w:widowControl w:val="0"/>
        <w:numPr>
          <w:ilvl w:val="0"/>
          <w:numId w:val="18"/>
        </w:numPr>
        <w:pBdr>
          <w:top w:color="auto" w:space="0" w:sz="0" w:val="none"/>
        </w:pBdr>
        <w:spacing w:after="0" w:afterAutospacing="0" w:before="0" w:beforeAutospacing="0" w:line="276" w:lineRule="auto"/>
        <w:ind w:left="720" w:hanging="360"/>
        <w:rPr>
          <w:rFonts w:ascii="PT Sans" w:cs="PT Sans" w:eastAsia="PT Sans" w:hAnsi="PT Sans"/>
          <w:color w:val="212121"/>
          <w:sz w:val="22"/>
          <w:szCs w:val="22"/>
          <w:highlight w:val="white"/>
        </w:rPr>
      </w:pPr>
      <w:r w:rsidDel="00000000" w:rsidR="00000000" w:rsidRPr="00000000">
        <w:rPr>
          <w:rFonts w:ascii="PT Sans" w:cs="PT Sans" w:eastAsia="PT Sans" w:hAnsi="PT Sans"/>
          <w:color w:val="212121"/>
          <w:sz w:val="22"/>
          <w:szCs w:val="22"/>
          <w:highlight w:val="white"/>
          <w:rtl w:val="0"/>
        </w:rPr>
        <w:t xml:space="preserve">Working closely with any additional adults to assess, plan, do and review support and interventions for each pupil with SEND in their class</w:t>
      </w:r>
    </w:p>
    <w:p w:rsidR="00000000" w:rsidDel="00000000" w:rsidP="00000000" w:rsidRDefault="00000000" w:rsidRPr="00000000" w14:paraId="00000053">
      <w:pPr>
        <w:widowControl w:val="0"/>
        <w:numPr>
          <w:ilvl w:val="0"/>
          <w:numId w:val="18"/>
        </w:numPr>
        <w:pBdr>
          <w:top w:color="auto" w:space="0" w:sz="0" w:val="none"/>
        </w:pBdr>
        <w:spacing w:after="0" w:afterAutospacing="0" w:before="0" w:beforeAutospacing="0" w:line="276" w:lineRule="auto"/>
        <w:ind w:left="720" w:hanging="360"/>
        <w:rPr>
          <w:rFonts w:ascii="PT Sans" w:cs="PT Sans" w:eastAsia="PT Sans" w:hAnsi="PT Sans"/>
          <w:color w:val="212121"/>
          <w:sz w:val="22"/>
          <w:szCs w:val="22"/>
          <w:highlight w:val="white"/>
        </w:rPr>
      </w:pPr>
      <w:r w:rsidDel="00000000" w:rsidR="00000000" w:rsidRPr="00000000">
        <w:rPr>
          <w:rFonts w:ascii="PT Sans" w:cs="PT Sans" w:eastAsia="PT Sans" w:hAnsi="PT Sans"/>
          <w:color w:val="212121"/>
          <w:sz w:val="22"/>
          <w:szCs w:val="22"/>
          <w:highlight w:val="white"/>
          <w:rtl w:val="0"/>
        </w:rPr>
        <w:t xml:space="preserve">Working with the SENDCO to review each pupil’s progress and development and decide on any changes to provision</w:t>
      </w:r>
    </w:p>
    <w:p w:rsidR="00000000" w:rsidDel="00000000" w:rsidP="00000000" w:rsidRDefault="00000000" w:rsidRPr="00000000" w14:paraId="00000054">
      <w:pPr>
        <w:widowControl w:val="0"/>
        <w:numPr>
          <w:ilvl w:val="0"/>
          <w:numId w:val="18"/>
        </w:numPr>
        <w:pBdr>
          <w:top w:color="auto" w:space="0" w:sz="0" w:val="none"/>
        </w:pBdr>
        <w:spacing w:after="0" w:afterAutospacing="0" w:before="0" w:beforeAutospacing="0" w:line="276" w:lineRule="auto"/>
        <w:ind w:left="720" w:hanging="360"/>
        <w:rPr>
          <w:rFonts w:ascii="PT Sans" w:cs="PT Sans" w:eastAsia="PT Sans" w:hAnsi="PT Sans"/>
          <w:color w:val="212121"/>
          <w:sz w:val="22"/>
          <w:szCs w:val="22"/>
          <w:highlight w:val="white"/>
        </w:rPr>
      </w:pPr>
      <w:r w:rsidDel="00000000" w:rsidR="00000000" w:rsidRPr="00000000">
        <w:rPr>
          <w:rFonts w:ascii="PT Sans" w:cs="PT Sans" w:eastAsia="PT Sans" w:hAnsi="PT Sans"/>
          <w:color w:val="212121"/>
          <w:sz w:val="22"/>
          <w:szCs w:val="22"/>
          <w:highlight w:val="white"/>
          <w:rtl w:val="0"/>
        </w:rPr>
        <w:t xml:space="preserve">Setting high academic and behavioural expectations for all pupils, including SEND pupils and supporting their achievement.</w:t>
      </w:r>
    </w:p>
    <w:p w:rsidR="00000000" w:rsidDel="00000000" w:rsidP="00000000" w:rsidRDefault="00000000" w:rsidRPr="00000000" w14:paraId="00000055">
      <w:pPr>
        <w:widowControl w:val="0"/>
        <w:numPr>
          <w:ilvl w:val="0"/>
          <w:numId w:val="18"/>
        </w:numPr>
        <w:pBdr>
          <w:top w:color="auto" w:space="0" w:sz="0" w:val="none"/>
        </w:pBdr>
        <w:spacing w:after="0" w:afterAutospacing="0" w:before="0" w:beforeAutospacing="0" w:line="276" w:lineRule="auto"/>
        <w:ind w:left="720" w:hanging="360"/>
        <w:rPr>
          <w:rFonts w:ascii="PT Sans" w:cs="PT Sans" w:eastAsia="PT Sans" w:hAnsi="PT Sans"/>
          <w:color w:val="212121"/>
          <w:sz w:val="22"/>
          <w:szCs w:val="22"/>
          <w:highlight w:val="white"/>
        </w:rPr>
      </w:pPr>
      <w:r w:rsidDel="00000000" w:rsidR="00000000" w:rsidRPr="00000000">
        <w:rPr>
          <w:rFonts w:ascii="PT Sans" w:cs="PT Sans" w:eastAsia="PT Sans" w:hAnsi="PT Sans"/>
          <w:color w:val="212121"/>
          <w:sz w:val="22"/>
          <w:szCs w:val="22"/>
          <w:highlight w:val="white"/>
          <w:rtl w:val="0"/>
        </w:rPr>
        <w:t xml:space="preserve">Identify pupils with SEND in their class.</w:t>
      </w:r>
    </w:p>
    <w:p w:rsidR="00000000" w:rsidDel="00000000" w:rsidP="00000000" w:rsidRDefault="00000000" w:rsidRPr="00000000" w14:paraId="00000056">
      <w:pPr>
        <w:widowControl w:val="0"/>
        <w:numPr>
          <w:ilvl w:val="0"/>
          <w:numId w:val="18"/>
        </w:numPr>
        <w:pBdr>
          <w:top w:color="auto" w:space="0" w:sz="0" w:val="none"/>
          <w:bottom w:color="auto" w:space="0" w:sz="0" w:val="none"/>
        </w:pBdr>
        <w:spacing w:before="0" w:beforeAutospacing="0" w:line="276" w:lineRule="auto"/>
        <w:ind w:left="720" w:hanging="360"/>
        <w:rPr>
          <w:rFonts w:ascii="PT Sans" w:cs="PT Sans" w:eastAsia="PT Sans" w:hAnsi="PT Sans"/>
          <w:color w:val="212121"/>
          <w:sz w:val="22"/>
          <w:szCs w:val="22"/>
          <w:highlight w:val="white"/>
        </w:rPr>
      </w:pPr>
      <w:r w:rsidDel="00000000" w:rsidR="00000000" w:rsidRPr="00000000">
        <w:rPr>
          <w:rFonts w:ascii="PT Sans" w:cs="PT Sans" w:eastAsia="PT Sans" w:hAnsi="PT Sans"/>
          <w:color w:val="212121"/>
          <w:sz w:val="22"/>
          <w:szCs w:val="22"/>
          <w:highlight w:val="white"/>
          <w:rtl w:val="0"/>
        </w:rPr>
        <w:t xml:space="preserve">Engage in on-going SEND CPD offer</w:t>
      </w:r>
      <w:r w:rsidDel="00000000" w:rsidR="00000000" w:rsidRPr="00000000">
        <w:rPr>
          <w:rtl w:val="0"/>
        </w:rPr>
      </w:r>
    </w:p>
    <w:p w:rsidR="00000000" w:rsidDel="00000000" w:rsidP="00000000" w:rsidRDefault="00000000" w:rsidRPr="00000000" w14:paraId="00000057">
      <w:pPr>
        <w:ind w:left="720" w:firstLine="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8">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Additional clauses:</w:t>
      </w:r>
    </w:p>
    <w:p w:rsidR="00000000" w:rsidDel="00000000" w:rsidP="00000000" w:rsidRDefault="00000000" w:rsidRPr="00000000" w14:paraId="00000059">
      <w:pPr>
        <w:numPr>
          <w:ilvl w:val="0"/>
          <w:numId w:val="7"/>
        </w:numPr>
        <w:ind w:left="720" w:hanging="360"/>
        <w:jc w:val="both"/>
        <w:rPr>
          <w:rFonts w:ascii="PT Sans" w:cs="PT Sans" w:eastAsia="PT Sans" w:hAnsi="PT Sans"/>
          <w:b w:val="1"/>
          <w:sz w:val="22"/>
          <w:szCs w:val="22"/>
        </w:rPr>
      </w:pPr>
      <w:r w:rsidDel="00000000" w:rsidR="00000000" w:rsidRPr="00000000">
        <w:rPr>
          <w:rFonts w:ascii="PT Sans" w:cs="PT Sans" w:eastAsia="PT Sans" w:hAnsi="PT Sans"/>
          <w:sz w:val="22"/>
          <w:szCs w:val="22"/>
          <w:rtl w:val="0"/>
        </w:rPr>
        <w:t xml:space="preserve">Have a working knowledge and understanding of:</w:t>
      </w:r>
      <w:r w:rsidDel="00000000" w:rsidR="00000000" w:rsidRPr="00000000">
        <w:rPr>
          <w:rtl w:val="0"/>
        </w:rPr>
      </w:r>
    </w:p>
    <w:p w:rsidR="00000000" w:rsidDel="00000000" w:rsidP="00000000" w:rsidRDefault="00000000" w:rsidRPr="00000000" w14:paraId="0000005A">
      <w:pPr>
        <w:numPr>
          <w:ilvl w:val="0"/>
          <w:numId w:val="5"/>
        </w:numPr>
        <w:ind w:left="1080" w:hanging="360"/>
        <w:jc w:val="both"/>
        <w:rPr>
          <w:rFonts w:ascii="PT Sans" w:cs="PT Sans" w:eastAsia="PT Sans" w:hAnsi="PT Sans"/>
          <w:b w:val="1"/>
          <w:sz w:val="22"/>
          <w:szCs w:val="22"/>
        </w:rPr>
      </w:pPr>
      <w:r w:rsidDel="00000000" w:rsidR="00000000" w:rsidRPr="00000000">
        <w:rPr>
          <w:rFonts w:ascii="PT Sans" w:cs="PT Sans" w:eastAsia="PT Sans" w:hAnsi="PT Sans"/>
          <w:sz w:val="22"/>
          <w:szCs w:val="22"/>
          <w:rtl w:val="0"/>
        </w:rPr>
        <w:t xml:space="preserve">School Teachers’ Pay and Conditions document</w:t>
      </w:r>
      <w:r w:rsidDel="00000000" w:rsidR="00000000" w:rsidRPr="00000000">
        <w:rPr>
          <w:rtl w:val="0"/>
        </w:rPr>
      </w:r>
    </w:p>
    <w:p w:rsidR="00000000" w:rsidDel="00000000" w:rsidP="00000000" w:rsidRDefault="00000000" w:rsidRPr="00000000" w14:paraId="0000005B">
      <w:pPr>
        <w:numPr>
          <w:ilvl w:val="0"/>
          <w:numId w:val="5"/>
        </w:numPr>
        <w:ind w:left="108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Teachers’ legal liabilities and responsibilities relating to race relations; sex discrimination; health and safety at work; responsibilities for health and safety when supervising students on and off the school site; safeguarding children’s welfare; child protection against abuse; guidelines for appropriate physical contact with students; detention of students</w:t>
      </w:r>
    </w:p>
    <w:p w:rsidR="00000000" w:rsidDel="00000000" w:rsidP="00000000" w:rsidRDefault="00000000" w:rsidRPr="00000000" w14:paraId="0000005C">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Establish effective working relationships with all colleagues on site(s)</w:t>
      </w:r>
    </w:p>
    <w:p w:rsidR="00000000" w:rsidDel="00000000" w:rsidP="00000000" w:rsidRDefault="00000000" w:rsidRPr="00000000" w14:paraId="0000005D">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 a good example to students, through your presentation and personal   and professional conduct</w:t>
      </w:r>
    </w:p>
    <w:p w:rsidR="00000000" w:rsidDel="00000000" w:rsidP="00000000" w:rsidRDefault="00000000" w:rsidRPr="00000000" w14:paraId="0000005E">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committed to ensuring every pupil can achieve full potential and meet expectations set</w:t>
      </w:r>
    </w:p>
    <w:p w:rsidR="00000000" w:rsidDel="00000000" w:rsidP="00000000" w:rsidRDefault="00000000" w:rsidRPr="00000000" w14:paraId="0000005F">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Understand professional responsibilities for College policies, including tutorial and personal safety matters, bullying, substance misuse and sex education</w:t>
      </w:r>
    </w:p>
    <w:p w:rsidR="00000000" w:rsidDel="00000000" w:rsidP="00000000" w:rsidRDefault="00000000" w:rsidRPr="00000000" w14:paraId="00000060">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Liaise effectively with parents, careers, and welfare/education agencies</w:t>
      </w:r>
    </w:p>
    <w:p w:rsidR="00000000" w:rsidDel="00000000" w:rsidP="00000000" w:rsidRDefault="00000000" w:rsidRPr="00000000" w14:paraId="00000061">
      <w:pPr>
        <w:numPr>
          <w:ilvl w:val="0"/>
          <w:numId w:val="7"/>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aware of the role and purpose of school governing bodies</w:t>
      </w:r>
    </w:p>
    <w:p w:rsidR="00000000" w:rsidDel="00000000" w:rsidP="00000000" w:rsidRDefault="00000000" w:rsidRPr="00000000" w14:paraId="0000006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3">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64">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5">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66">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68">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69">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6A">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6B">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6C">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6D">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6E">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6F">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70">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71">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Statement of Teachers’ Pay and Conditions. </w:t>
      </w:r>
      <w:r w:rsidDel="00000000" w:rsidR="00000000" w:rsidRPr="00000000">
        <w:rPr>
          <w:rtl w:val="0"/>
        </w:rPr>
      </w:r>
    </w:p>
    <w:p w:rsidR="00000000" w:rsidDel="00000000" w:rsidP="00000000" w:rsidRDefault="00000000" w:rsidRPr="00000000" w14:paraId="00000072">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73">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74">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75">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76">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77">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78">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79">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7A">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7B">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7C">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7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w:t>
        <w:tab/>
        <w:t xml:space="preserve">Teacher</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tbl>
      <w:tblPr>
        <w:tblStyle w:val="Table1"/>
        <w:tblW w:w="10207.0" w:type="dxa"/>
        <w:jc w:val="left"/>
        <w:tblInd w:w="-3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8"/>
        <w:gridCol w:w="2471"/>
        <w:gridCol w:w="2843"/>
        <w:gridCol w:w="2835"/>
        <w:tblGridChange w:id="0">
          <w:tblGrid>
            <w:gridCol w:w="2058"/>
            <w:gridCol w:w="2471"/>
            <w:gridCol w:w="2843"/>
            <w:gridCol w:w="2835"/>
          </w:tblGrid>
        </w:tblGridChange>
      </w:tblGrid>
      <w:tr>
        <w:tc>
          <w:tcPr/>
          <w:p w:rsidR="00000000" w:rsidDel="00000000" w:rsidP="00000000" w:rsidRDefault="00000000" w:rsidRPr="00000000" w14:paraId="0000008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heading</w:t>
            </w:r>
          </w:p>
        </w:tc>
        <w:tc>
          <w:tcPr/>
          <w:p w:rsidR="00000000" w:rsidDel="00000000" w:rsidP="00000000" w:rsidRDefault="00000000" w:rsidRPr="00000000" w14:paraId="0000008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Detail</w:t>
            </w:r>
          </w:p>
        </w:tc>
        <w:tc>
          <w:tcPr/>
          <w:p w:rsidR="00000000" w:rsidDel="00000000" w:rsidP="00000000" w:rsidRDefault="00000000" w:rsidRPr="00000000" w14:paraId="00000083">
            <w:pPr>
              <w:ind w:left="29"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requirements:</w:t>
            </w:r>
          </w:p>
        </w:tc>
        <w:tc>
          <w:tcPr/>
          <w:p w:rsidR="00000000" w:rsidDel="00000000" w:rsidP="00000000" w:rsidRDefault="00000000" w:rsidRPr="00000000" w14:paraId="0000008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Desirable requirements:</w:t>
            </w:r>
          </w:p>
        </w:tc>
      </w:tr>
      <w:tr>
        <w:tc>
          <w:tcPr>
            <w:vMerge w:val="restart"/>
          </w:tcPr>
          <w:p w:rsidR="00000000" w:rsidDel="00000000" w:rsidP="00000000" w:rsidRDefault="00000000" w:rsidRPr="00000000" w14:paraId="0000008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 &amp; Experience</w:t>
            </w:r>
          </w:p>
        </w:tc>
        <w:tc>
          <w:tcPr/>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Specific qualifications</w:t>
            </w:r>
          </w:p>
        </w:tc>
        <w:tc>
          <w:tcPr/>
          <w:p w:rsidR="00000000" w:rsidDel="00000000" w:rsidP="00000000" w:rsidRDefault="00000000" w:rsidRPr="00000000" w14:paraId="00000087">
            <w:pPr>
              <w:numPr>
                <w:ilvl w:val="0"/>
                <w:numId w:val="2"/>
              </w:numPr>
              <w:ind w:left="312"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Right to work in the UK </w:t>
            </w:r>
          </w:p>
        </w:tc>
        <w:tc>
          <w:tcPr/>
          <w:p w:rsidR="00000000" w:rsidDel="00000000" w:rsidP="00000000" w:rsidRDefault="00000000" w:rsidRPr="00000000" w14:paraId="00000088">
            <w:pPr>
              <w:numPr>
                <w:ilvl w:val="0"/>
                <w:numId w:val="2"/>
              </w:numPr>
              <w:ind w:left="312"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r>
      <w:tr>
        <w:tc>
          <w:tcPr>
            <w:vMerge w:val="continue"/>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required for the role</w:t>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C">
            <w:pPr>
              <w:numPr>
                <w:ilvl w:val="0"/>
                <w:numId w:val="1"/>
              </w:numPr>
              <w:ind w:left="312"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good honours degree or equivalent and QTS</w:t>
            </w:r>
          </w:p>
        </w:tc>
        <w:tc>
          <w:tcPr/>
          <w:p w:rsidR="00000000" w:rsidDel="00000000" w:rsidP="00000000" w:rsidRDefault="00000000" w:rsidRPr="00000000" w14:paraId="0000008D">
            <w:pPr>
              <w:numPr>
                <w:ilvl w:val="0"/>
                <w:numId w:val="1"/>
              </w:numPr>
              <w:ind w:left="312"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good honours degree or equivalent and PGCE.</w:t>
            </w:r>
          </w:p>
          <w:p w:rsidR="00000000" w:rsidDel="00000000" w:rsidP="00000000" w:rsidRDefault="00000000" w:rsidRPr="00000000" w14:paraId="0000008E">
            <w:pPr>
              <w:numPr>
                <w:ilvl w:val="0"/>
                <w:numId w:val="1"/>
              </w:numPr>
              <w:ind w:left="312"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further subject-based professional development. </w:t>
            </w:r>
          </w:p>
        </w:tc>
      </w:tr>
      <w:tr>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sz w:val="22"/>
                <w:szCs w:val="22"/>
                <w:rtl w:val="0"/>
              </w:rPr>
              <w:t xml:space="preserve">Teaching</w:t>
            </w:r>
          </w:p>
        </w:tc>
        <w:tc>
          <w:tcPr/>
          <w:p w:rsidR="00000000" w:rsidDel="00000000" w:rsidP="00000000" w:rsidRDefault="00000000" w:rsidRPr="00000000" w14:paraId="00000091">
            <w:pPr>
              <w:numPr>
                <w:ilvl w:val="0"/>
                <w:numId w:val="4"/>
              </w:numPr>
              <w:ind w:left="312"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good classroom practice. </w:t>
            </w:r>
          </w:p>
          <w:p w:rsidR="00000000" w:rsidDel="00000000" w:rsidP="00000000" w:rsidRDefault="00000000" w:rsidRPr="00000000" w14:paraId="00000092">
            <w:pPr>
              <w:numPr>
                <w:ilvl w:val="0"/>
                <w:numId w:val="4"/>
              </w:numPr>
              <w:ind w:left="312"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Good understanding of effective and engaging teaching methods. </w:t>
            </w:r>
          </w:p>
          <w:p w:rsidR="00000000" w:rsidDel="00000000" w:rsidP="00000000" w:rsidRDefault="00000000" w:rsidRPr="00000000" w14:paraId="00000093">
            <w:pPr>
              <w:numPr>
                <w:ilvl w:val="0"/>
                <w:numId w:val="4"/>
              </w:numPr>
              <w:ind w:left="312"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engage, enthuse and motivate students. </w:t>
            </w:r>
          </w:p>
        </w:tc>
        <w:tc>
          <w:tcPr/>
          <w:p w:rsidR="00000000" w:rsidDel="00000000" w:rsidP="00000000" w:rsidRDefault="00000000" w:rsidRPr="00000000" w14:paraId="00000094">
            <w:pPr>
              <w:numPr>
                <w:ilvl w:val="0"/>
                <w:numId w:val="4"/>
              </w:numPr>
              <w:ind w:left="312"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the use of ICT to enhance the teaching and learning process. </w:t>
            </w:r>
          </w:p>
        </w:tc>
      </w:tr>
      <w:tr>
        <w:tc>
          <w:tcPr>
            <w:vMerge w:val="continue"/>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6">
            <w:pPr>
              <w:rPr>
                <w:rFonts w:ascii="Arial" w:cs="Arial" w:eastAsia="Arial" w:hAnsi="Arial"/>
                <w:sz w:val="22"/>
                <w:szCs w:val="22"/>
              </w:rPr>
            </w:pPr>
            <w:r w:rsidDel="00000000" w:rsidR="00000000" w:rsidRPr="00000000">
              <w:rPr>
                <w:rFonts w:ascii="Arial" w:cs="Arial" w:eastAsia="Arial" w:hAnsi="Arial"/>
                <w:sz w:val="22"/>
                <w:szCs w:val="22"/>
                <w:rtl w:val="0"/>
              </w:rPr>
              <w:t xml:space="preserve">Assessment</w:t>
            </w:r>
          </w:p>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8">
            <w:pPr>
              <w:numPr>
                <w:ilvl w:val="0"/>
                <w:numId w:val="9"/>
              </w:numPr>
              <w:ind w:left="312" w:hanging="153"/>
              <w:rPr>
                <w:rFonts w:ascii="Arial" w:cs="Arial" w:eastAsia="Arial" w:hAnsi="Arial"/>
                <w:sz w:val="22"/>
                <w:szCs w:val="22"/>
              </w:rPr>
            </w:pPr>
            <w:r w:rsidDel="00000000" w:rsidR="00000000" w:rsidRPr="00000000">
              <w:rPr>
                <w:rFonts w:ascii="Arial" w:cs="Arial" w:eastAsia="Arial" w:hAnsi="Arial"/>
                <w:sz w:val="22"/>
                <w:szCs w:val="22"/>
                <w:rtl w:val="0"/>
              </w:rPr>
              <w:t xml:space="preserve">An understanding of the use of assessment to inform planning. </w:t>
            </w:r>
          </w:p>
        </w:tc>
        <w:tc>
          <w:tcPr/>
          <w:p w:rsidR="00000000" w:rsidDel="00000000" w:rsidP="00000000" w:rsidRDefault="00000000" w:rsidRPr="00000000" w14:paraId="00000099">
            <w:pPr>
              <w:numPr>
                <w:ilvl w:val="0"/>
                <w:numId w:val="9"/>
              </w:numPr>
              <w:ind w:left="312" w:hanging="153"/>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improved student outcomes. </w:t>
            </w:r>
          </w:p>
          <w:p w:rsidR="00000000" w:rsidDel="00000000" w:rsidP="00000000" w:rsidRDefault="00000000" w:rsidRPr="00000000" w14:paraId="0000009A">
            <w:pPr>
              <w:numPr>
                <w:ilvl w:val="0"/>
                <w:numId w:val="9"/>
              </w:numPr>
              <w:ind w:left="312" w:hanging="153"/>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monitor student progress through the use of ICT</w:t>
            </w:r>
          </w:p>
        </w:tc>
      </w:tr>
      <w:tr>
        <w:tc>
          <w:tcPr>
            <w:vMerge w:val="continue"/>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Planning</w:t>
            </w:r>
          </w:p>
        </w:tc>
        <w:tc>
          <w:tcPr/>
          <w:p w:rsidR="00000000" w:rsidDel="00000000" w:rsidP="00000000" w:rsidRDefault="00000000" w:rsidRPr="00000000" w14:paraId="0000009D">
            <w:pPr>
              <w:numPr>
                <w:ilvl w:val="0"/>
                <w:numId w:val="10"/>
              </w:numPr>
              <w:ind w:left="312" w:hanging="153"/>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plan lessons and sequences of lessons with clear objectives to ensure progression for all students. </w:t>
            </w:r>
          </w:p>
          <w:p w:rsidR="00000000" w:rsidDel="00000000" w:rsidP="00000000" w:rsidRDefault="00000000" w:rsidRPr="00000000" w14:paraId="0000009E">
            <w:pPr>
              <w:numPr>
                <w:ilvl w:val="0"/>
                <w:numId w:val="10"/>
              </w:numPr>
              <w:ind w:left="312" w:hanging="153"/>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set consistently high expectations for all students through class work and homework. </w:t>
            </w:r>
          </w:p>
        </w:tc>
        <w:tc>
          <w:tcPr/>
          <w:p w:rsidR="00000000" w:rsidDel="00000000" w:rsidP="00000000" w:rsidRDefault="00000000" w:rsidRPr="00000000" w14:paraId="0000009F">
            <w:pPr>
              <w:numPr>
                <w:ilvl w:val="0"/>
                <w:numId w:val="10"/>
              </w:numPr>
              <w:ind w:left="312" w:hanging="153"/>
              <w:rPr>
                <w:rFonts w:ascii="Arial" w:cs="Arial" w:eastAsia="Arial" w:hAnsi="Arial"/>
                <w:sz w:val="22"/>
                <w:szCs w:val="22"/>
              </w:rPr>
            </w:pPr>
            <w:r w:rsidDel="00000000" w:rsidR="00000000" w:rsidRPr="00000000">
              <w:rPr>
                <w:rFonts w:ascii="Arial" w:cs="Arial" w:eastAsia="Arial" w:hAnsi="Arial"/>
                <w:sz w:val="22"/>
                <w:szCs w:val="22"/>
                <w:rtl w:val="0"/>
              </w:rPr>
              <w:t xml:space="preserve">A willingness to be involved in extended curriculum opportunities in the subject area.  </w:t>
            </w:r>
          </w:p>
          <w:p w:rsidR="00000000" w:rsidDel="00000000" w:rsidP="00000000" w:rsidRDefault="00000000" w:rsidRPr="00000000" w14:paraId="000000A0">
            <w:pPr>
              <w:numPr>
                <w:ilvl w:val="0"/>
                <w:numId w:val="10"/>
              </w:numPr>
              <w:ind w:left="312" w:hanging="153"/>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manage time effectively and prioritise work.</w:t>
            </w:r>
          </w:p>
        </w:tc>
      </w:tr>
      <w:tr>
        <w:tc>
          <w:tcPr>
            <w:vMerge w:val="restart"/>
          </w:tcPr>
          <w:p w:rsidR="00000000" w:rsidDel="00000000" w:rsidP="00000000" w:rsidRDefault="00000000" w:rsidRPr="00000000" w14:paraId="000000A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Behaviours</w:t>
            </w:r>
          </w:p>
        </w:tc>
        <w:tc>
          <w:tcPr/>
          <w:p w:rsidR="00000000" w:rsidDel="00000000" w:rsidP="00000000" w:rsidRDefault="00000000" w:rsidRPr="00000000" w14:paraId="000000A2">
            <w:pPr>
              <w:rPr>
                <w:rFonts w:ascii="Arial" w:cs="Arial" w:eastAsia="Arial" w:hAnsi="Arial"/>
                <w:sz w:val="22"/>
                <w:szCs w:val="22"/>
              </w:rPr>
            </w:pPr>
            <w:r w:rsidDel="00000000" w:rsidR="00000000" w:rsidRPr="00000000">
              <w:rPr>
                <w:rFonts w:ascii="Arial" w:cs="Arial" w:eastAsia="Arial" w:hAnsi="Arial"/>
                <w:sz w:val="22"/>
                <w:szCs w:val="22"/>
                <w:rtl w:val="0"/>
              </w:rPr>
              <w:t xml:space="preserve">Skills/Abilities</w:t>
            </w:r>
          </w:p>
        </w:tc>
        <w:tc>
          <w:tcPr/>
          <w:p w:rsidR="00000000" w:rsidDel="00000000" w:rsidP="00000000" w:rsidRDefault="00000000" w:rsidRPr="00000000" w14:paraId="000000A3">
            <w:pPr>
              <w:numPr>
                <w:ilvl w:val="0"/>
                <w:numId w:val="6"/>
              </w:numPr>
              <w:ind w:left="312" w:hanging="153"/>
              <w:rPr>
                <w:rFonts w:ascii="Arial" w:cs="Arial" w:eastAsia="Arial" w:hAnsi="Arial"/>
                <w:sz w:val="22"/>
                <w:szCs w:val="22"/>
              </w:rPr>
            </w:pPr>
            <w:r w:rsidDel="00000000" w:rsidR="00000000" w:rsidRPr="00000000">
              <w:rPr>
                <w:rFonts w:ascii="Arial" w:cs="Arial" w:eastAsia="Arial" w:hAnsi="Arial"/>
                <w:sz w:val="22"/>
                <w:szCs w:val="22"/>
                <w:rtl w:val="0"/>
              </w:rPr>
              <w:t xml:space="preserve">Highly motivated. </w:t>
            </w:r>
          </w:p>
          <w:p w:rsidR="00000000" w:rsidDel="00000000" w:rsidP="00000000" w:rsidRDefault="00000000" w:rsidRPr="00000000" w14:paraId="000000A4">
            <w:pPr>
              <w:numPr>
                <w:ilvl w:val="0"/>
                <w:numId w:val="6"/>
              </w:numPr>
              <w:ind w:left="312" w:hanging="153"/>
              <w:rPr>
                <w:rFonts w:ascii="Arial" w:cs="Arial" w:eastAsia="Arial" w:hAnsi="Arial"/>
                <w:sz w:val="22"/>
                <w:szCs w:val="22"/>
              </w:rPr>
            </w:pPr>
            <w:r w:rsidDel="00000000" w:rsidR="00000000" w:rsidRPr="00000000">
              <w:rPr>
                <w:rFonts w:ascii="Arial" w:cs="Arial" w:eastAsia="Arial" w:hAnsi="Arial"/>
                <w:sz w:val="22"/>
                <w:szCs w:val="22"/>
                <w:rtl w:val="0"/>
              </w:rPr>
              <w:t xml:space="preserve">Respond well to a challenge.</w:t>
            </w:r>
          </w:p>
          <w:p w:rsidR="00000000" w:rsidDel="00000000" w:rsidP="00000000" w:rsidRDefault="00000000" w:rsidRPr="00000000" w14:paraId="000000A5">
            <w:pPr>
              <w:numPr>
                <w:ilvl w:val="0"/>
                <w:numId w:val="6"/>
              </w:numPr>
              <w:ind w:left="312" w:hanging="153"/>
              <w:rPr>
                <w:rFonts w:ascii="Arial" w:cs="Arial" w:eastAsia="Arial" w:hAnsi="Arial"/>
                <w:sz w:val="22"/>
                <w:szCs w:val="22"/>
              </w:rPr>
            </w:pPr>
            <w:r w:rsidDel="00000000" w:rsidR="00000000" w:rsidRPr="00000000">
              <w:rPr>
                <w:rFonts w:ascii="Arial" w:cs="Arial" w:eastAsia="Arial" w:hAnsi="Arial"/>
                <w:sz w:val="22"/>
                <w:szCs w:val="22"/>
                <w:rtl w:val="0"/>
              </w:rPr>
              <w:t xml:space="preserve">Maintain high professional standards. </w:t>
            </w:r>
          </w:p>
          <w:p w:rsidR="00000000" w:rsidDel="00000000" w:rsidP="00000000" w:rsidRDefault="00000000" w:rsidRPr="00000000" w14:paraId="000000A6">
            <w:pPr>
              <w:numPr>
                <w:ilvl w:val="0"/>
                <w:numId w:val="6"/>
              </w:numPr>
              <w:ind w:left="312" w:hanging="153"/>
              <w:rPr>
                <w:rFonts w:ascii="Arial" w:cs="Arial" w:eastAsia="Arial" w:hAnsi="Arial"/>
                <w:sz w:val="22"/>
                <w:szCs w:val="22"/>
              </w:rPr>
            </w:pPr>
            <w:r w:rsidDel="00000000" w:rsidR="00000000" w:rsidRPr="00000000">
              <w:rPr>
                <w:rFonts w:ascii="Arial" w:cs="Arial" w:eastAsia="Arial" w:hAnsi="Arial"/>
                <w:sz w:val="22"/>
                <w:szCs w:val="22"/>
                <w:rtl w:val="0"/>
              </w:rPr>
              <w:t xml:space="preserve">Excellent communication skills. </w:t>
            </w:r>
          </w:p>
          <w:p w:rsidR="00000000" w:rsidDel="00000000" w:rsidP="00000000" w:rsidRDefault="00000000" w:rsidRPr="00000000" w14:paraId="000000A7">
            <w:pPr>
              <w:numPr>
                <w:ilvl w:val="0"/>
                <w:numId w:val="8"/>
              </w:numPr>
              <w:ind w:left="312"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Commitment to own professional development.</w:t>
            </w:r>
          </w:p>
        </w:tc>
        <w:tc>
          <w:tcPr/>
          <w:p w:rsidR="00000000" w:rsidDel="00000000" w:rsidP="00000000" w:rsidRDefault="00000000" w:rsidRPr="00000000" w14:paraId="000000A8">
            <w:pPr>
              <w:ind w:left="312" w:firstLine="0"/>
              <w:rPr>
                <w:rFonts w:ascii="Arial" w:cs="Arial" w:eastAsia="Arial" w:hAnsi="Arial"/>
                <w:sz w:val="22"/>
                <w:szCs w:val="22"/>
              </w:rPr>
            </w:pPr>
            <w:r w:rsidDel="00000000" w:rsidR="00000000" w:rsidRPr="00000000">
              <w:rPr>
                <w:rtl w:val="0"/>
              </w:rPr>
            </w:r>
          </w:p>
        </w:tc>
      </w:tr>
      <w:tr>
        <w:tc>
          <w:tcPr>
            <w:vMerge w:val="continue"/>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A">
            <w:pPr>
              <w:rPr>
                <w:rFonts w:ascii="Arial" w:cs="Arial" w:eastAsia="Arial" w:hAnsi="Arial"/>
                <w:sz w:val="22"/>
                <w:szCs w:val="22"/>
              </w:rPr>
            </w:pPr>
            <w:r w:rsidDel="00000000" w:rsidR="00000000" w:rsidRPr="00000000">
              <w:rPr>
                <w:rFonts w:ascii="Arial" w:cs="Arial" w:eastAsia="Arial" w:hAnsi="Arial"/>
                <w:sz w:val="22"/>
                <w:szCs w:val="22"/>
                <w:rtl w:val="0"/>
              </w:rPr>
              <w:t xml:space="preserve">DBS (CRB)</w:t>
            </w:r>
          </w:p>
        </w:tc>
        <w:tc>
          <w:tcPr/>
          <w:p w:rsidR="00000000" w:rsidDel="00000000" w:rsidP="00000000" w:rsidRDefault="00000000" w:rsidRPr="00000000" w14:paraId="000000AB">
            <w:pPr>
              <w:numPr>
                <w:ilvl w:val="0"/>
                <w:numId w:val="8"/>
              </w:numPr>
              <w:ind w:left="312"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This post is subject to receipt of  a Disclosure and Barring Service Certificate</w:t>
            </w:r>
          </w:p>
        </w:tc>
        <w:tc>
          <w:tcPr>
            <w:vMerge w:val="restart"/>
          </w:tcPr>
          <w:p w:rsidR="00000000" w:rsidDel="00000000" w:rsidP="00000000" w:rsidRDefault="00000000" w:rsidRPr="00000000" w14:paraId="000000AC">
            <w:pPr>
              <w:ind w:left="312" w:firstLine="0"/>
              <w:rPr>
                <w:rFonts w:ascii="Arial" w:cs="Arial" w:eastAsia="Arial" w:hAnsi="Arial"/>
                <w:sz w:val="22"/>
                <w:szCs w:val="22"/>
              </w:rPr>
            </w:pPr>
            <w:r w:rsidDel="00000000" w:rsidR="00000000" w:rsidRPr="00000000">
              <w:rPr>
                <w:rtl w:val="0"/>
              </w:rPr>
            </w:r>
          </w:p>
        </w:tc>
      </w:tr>
      <w:tr>
        <w:trPr>
          <w:trHeight w:val="2100" w:hRule="atLeast"/>
        </w:trPr>
        <w:tc>
          <w:tcPr>
            <w:vMerge w:val="continue"/>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E">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Values</w:t>
            </w:r>
          </w:p>
        </w:tc>
        <w:tc>
          <w:tcPr/>
          <w:p w:rsidR="00000000" w:rsidDel="00000000" w:rsidP="00000000" w:rsidRDefault="00000000" w:rsidRPr="00000000" w14:paraId="000000AF">
            <w:pPr>
              <w:numPr>
                <w:ilvl w:val="0"/>
                <w:numId w:val="8"/>
              </w:numPr>
              <w:ind w:left="312"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Ability to demonstrate, understand and apply our values</w:t>
            </w:r>
          </w:p>
          <w:p w:rsidR="00000000" w:rsidDel="00000000" w:rsidP="00000000" w:rsidRDefault="00000000" w:rsidRPr="00000000" w14:paraId="000000B0">
            <w:pPr>
              <w:numPr>
                <w:ilvl w:val="2"/>
                <w:numId w:val="8"/>
              </w:numPr>
              <w:ind w:left="596"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Be unusually brave</w:t>
            </w:r>
          </w:p>
          <w:p w:rsidR="00000000" w:rsidDel="00000000" w:rsidP="00000000" w:rsidRDefault="00000000" w:rsidRPr="00000000" w14:paraId="000000B1">
            <w:pPr>
              <w:numPr>
                <w:ilvl w:val="2"/>
                <w:numId w:val="8"/>
              </w:numPr>
              <w:ind w:left="596"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Discover what’s possible</w:t>
            </w:r>
          </w:p>
          <w:p w:rsidR="00000000" w:rsidDel="00000000" w:rsidP="00000000" w:rsidRDefault="00000000" w:rsidRPr="00000000" w14:paraId="000000B2">
            <w:pPr>
              <w:numPr>
                <w:ilvl w:val="2"/>
                <w:numId w:val="8"/>
              </w:numPr>
              <w:ind w:left="596"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Push the limits</w:t>
            </w:r>
          </w:p>
          <w:p w:rsidR="00000000" w:rsidDel="00000000" w:rsidP="00000000" w:rsidRDefault="00000000" w:rsidRPr="00000000" w14:paraId="000000B3">
            <w:pPr>
              <w:numPr>
                <w:ilvl w:val="2"/>
                <w:numId w:val="8"/>
              </w:numPr>
              <w:ind w:left="596"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Be big hearted</w:t>
            </w:r>
          </w:p>
        </w:tc>
        <w:tc>
          <w:tcPr>
            <w:vMerge w:val="continue"/>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trHeight w:val="2540" w:hRule="atLeast"/>
        </w:trPr>
        <w:tc>
          <w:tcPr>
            <w:vMerge w:val="continue"/>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sz w:val="22"/>
                <w:szCs w:val="22"/>
                <w:rtl w:val="0"/>
              </w:rPr>
              <w:t xml:space="preserve">Special requirements</w:t>
            </w:r>
          </w:p>
        </w:tc>
        <w:tc>
          <w:tcPr/>
          <w:p w:rsidR="00000000" w:rsidDel="00000000" w:rsidP="00000000" w:rsidRDefault="00000000" w:rsidRPr="00000000" w14:paraId="000000B7">
            <w:pPr>
              <w:numPr>
                <w:ilvl w:val="0"/>
                <w:numId w:val="19"/>
              </w:numPr>
              <w:ind w:left="312"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Right to work in the UK</w:t>
            </w:r>
          </w:p>
          <w:p w:rsidR="00000000" w:rsidDel="00000000" w:rsidP="00000000" w:rsidRDefault="00000000" w:rsidRPr="00000000" w14:paraId="000000B8">
            <w:pPr>
              <w:numPr>
                <w:ilvl w:val="0"/>
                <w:numId w:val="19"/>
              </w:numPr>
              <w:spacing w:line="276" w:lineRule="auto"/>
              <w:ind w:left="312"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 Evidence of a commitment to promoting the welfare and safeguarding of children and young people</w:t>
            </w:r>
          </w:p>
          <w:p w:rsidR="00000000" w:rsidDel="00000000" w:rsidP="00000000" w:rsidRDefault="00000000" w:rsidRPr="00000000" w14:paraId="000000B9">
            <w:pPr>
              <w:numPr>
                <w:ilvl w:val="0"/>
                <w:numId w:val="19"/>
              </w:numPr>
              <w:ind w:left="312"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Ability to travel as required</w:t>
            </w:r>
          </w:p>
        </w:tc>
        <w:tc>
          <w:tcPr>
            <w:tcBorders>
              <w:bottom w:color="000000" w:space="0" w:sz="4" w:val="single"/>
            </w:tcBorders>
          </w:tcPr>
          <w:p w:rsidR="00000000" w:rsidDel="00000000" w:rsidP="00000000" w:rsidRDefault="00000000" w:rsidRPr="00000000" w14:paraId="000000BA">
            <w:pPr>
              <w:numPr>
                <w:ilvl w:val="0"/>
                <w:numId w:val="8"/>
              </w:numPr>
              <w:ind w:left="312" w:hanging="36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B">
      <w:pPr>
        <w:spacing w:after="200" w:line="276" w:lineRule="auto"/>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BC">
      <w:pPr>
        <w:rPr>
          <w:rFonts w:ascii="Arial" w:cs="Arial" w:eastAsia="Arial" w:hAnsi="Arial"/>
          <w:u w:val="single"/>
        </w:rPr>
      </w:pPr>
      <w:r w:rsidDel="00000000" w:rsidR="00000000" w:rsidRPr="00000000">
        <w:rPr>
          <w:rtl w:val="0"/>
        </w:rPr>
      </w:r>
    </w:p>
    <w:p w:rsidR="00000000" w:rsidDel="00000000" w:rsidP="00000000" w:rsidRDefault="00000000" w:rsidRPr="00000000" w14:paraId="000000BD">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BE">
      <w:pPr>
        <w:ind w:left="566.9291338582677" w:right="568.3464566929138" w:firstLine="0"/>
        <w:rPr>
          <w:rFonts w:ascii="PT Sans" w:cs="PT Sans" w:eastAsia="PT Sans" w:hAnsi="PT Sans"/>
          <w:color w:val="ff0000"/>
          <w:sz w:val="22"/>
          <w:szCs w:val="22"/>
        </w:rPr>
      </w:pPr>
      <w:r w:rsidDel="00000000" w:rsidR="00000000" w:rsidRPr="00000000">
        <w:rPr>
          <w:rtl w:val="0"/>
        </w:rPr>
      </w:r>
    </w:p>
    <w:sectPr>
      <w:headerReference r:id="rId7" w:type="default"/>
      <w:footerReference r:id="rId8" w:type="default"/>
      <w:pgSz w:h="16838" w:w="11906" w:orient="portrait"/>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3"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0" y="204550"/>
                          <a:chExt cx="9701700" cy="828000"/>
                        </a:xfrm>
                      </wpg:grpSpPr>
                      <wps:wsp>
                        <wps:cNvSpPr/>
                        <wps:cNvPr id="3" name="Shape 3"/>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5" name="Shape 5"/>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6" name="Shape 6"/>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7320938" cy="681852"/>
              <wp:effectExtent b="0" l="0" r="0" t="0"/>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-101599</wp:posOffset>
              </wp:positionH>
              <wp:positionV relativeFrom="paragraph">
                <wp:posOffset>114300</wp:posOffset>
              </wp:positionV>
              <wp:extent cx="7311418" cy="650868"/>
              <wp:effectExtent b="0" l="0" r="0" t="0"/>
              <wp:wrapTopAndBottom distB="114300" distT="114300"/>
              <wp:docPr id="4" name=""/>
              <a:graphic>
                <a:graphicData uri="http://schemas.microsoft.com/office/word/2010/wordprocessingGroup">
                  <wpg:wgp>
                    <wpg:cNvGrpSpPr/>
                    <wpg:grpSpPr>
                      <a:xfrm>
                        <a:off x="1690291" y="3454566"/>
                        <a:ext cx="7311418" cy="650868"/>
                        <a:chOff x="1690291" y="3454566"/>
                        <a:chExt cx="7311418" cy="650868"/>
                      </a:xfrm>
                    </wpg:grpSpPr>
                    <wpg:grpSp>
                      <wpg:cNvGrpSpPr/>
                      <wpg:grpSpPr>
                        <a:xfrm>
                          <a:off x="1690291" y="3454566"/>
                          <a:ext cx="7311418" cy="650868"/>
                          <a:chOff x="0" y="0"/>
                          <a:chExt cx="9623804" cy="847642"/>
                        </a:xfrm>
                      </wpg:grpSpPr>
                      <wps:wsp>
                        <wps:cNvSpPr/>
                        <wps:cNvPr id="3" name="Shape 3"/>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Tendring-New-Logo-rev.png" id="12" name="Shape 12"/>
                          <pic:cNvPicPr preferRelativeResize="0"/>
                        </pic:nvPicPr>
                        <pic:blipFill rotWithShape="1">
                          <a:blip r:embed="rId1">
                            <a:alphaModFix/>
                          </a:blip>
                          <a:srcRect b="5243" l="0" r="0" t="5253"/>
                          <a:stretch/>
                        </pic:blipFill>
                        <pic:spPr>
                          <a:xfrm>
                            <a:off x="269275" y="70650"/>
                            <a:ext cx="2504127" cy="698851"/>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-101599</wp:posOffset>
              </wp:positionH>
              <wp:positionV relativeFrom="paragraph">
                <wp:posOffset>114300</wp:posOffset>
              </wp:positionV>
              <wp:extent cx="7311418" cy="650868"/>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0">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dyjmfioZ//IV3RqZ2iyegxzlVg==">AMUW2mWEtmD03w5F0aoW5gDxZ8UG2psE11DMpBJNtK8MSMtMDKVwjy8ZDbyzuSz7OiitqbnWzozqLpyTaj+0UAsRKOcIF55C9KKI3UN3dnH88tmVFq7eyzs7xx4cu/KrVBOx8zYrGktG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