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6EB" w14:textId="435984DD"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9E5F66">
        <w:rPr>
          <w:rFonts w:ascii="Calibri" w:hAnsi="Calibri"/>
          <w:b/>
          <w:sz w:val="28"/>
          <w:szCs w:val="22"/>
        </w:rPr>
        <w:t>Computer Science</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7EF32906" w:rsidR="00383982" w:rsidRDefault="009E5F66" w:rsidP="00433C13">
      <w:pPr>
        <w:rPr>
          <w:rFonts w:ascii="Calibri" w:hAnsi="Calibri" w:cs="Arial"/>
          <w:color w:val="000000"/>
          <w:sz w:val="22"/>
          <w:szCs w:val="22"/>
        </w:rPr>
      </w:pPr>
      <w:r>
        <w:rPr>
          <w:rFonts w:ascii="Calibri" w:hAnsi="Calibri" w:cs="Arial"/>
          <w:color w:val="000000"/>
          <w:sz w:val="22"/>
          <w:szCs w:val="22"/>
        </w:rPr>
        <w:t>SLT</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359041B1"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B06535">
        <w:rPr>
          <w:rFonts w:ascii="Calibri" w:hAnsi="Calibri" w:cs="Arial"/>
          <w:color w:val="000000"/>
          <w:sz w:val="22"/>
          <w:szCs w:val="22"/>
        </w:rPr>
        <w:t xml:space="preserve"> </w:t>
      </w:r>
    </w:p>
    <w:p w14:paraId="22B7D2FD" w14:textId="59F377CD" w:rsidR="00B06535" w:rsidRDefault="00383982" w:rsidP="00433C13">
      <w:pPr>
        <w:rPr>
          <w:rFonts w:ascii="Calibri" w:hAnsi="Calibri" w:cs="Arial"/>
          <w:color w:val="000000"/>
          <w:sz w:val="22"/>
          <w:szCs w:val="22"/>
        </w:rPr>
      </w:pPr>
      <w:r>
        <w:rPr>
          <w:rFonts w:ascii="Calibri" w:hAnsi="Calibri" w:cs="Arial"/>
          <w:color w:val="000000"/>
          <w:sz w:val="22"/>
          <w:szCs w:val="22"/>
        </w:rPr>
        <w:t xml:space="preserve">FT </w:t>
      </w:r>
      <w:r w:rsidR="009E5F66">
        <w:rPr>
          <w:rFonts w:ascii="Calibri" w:hAnsi="Calibri" w:cs="Arial"/>
          <w:color w:val="000000"/>
          <w:sz w:val="22"/>
          <w:szCs w:val="22"/>
        </w:rPr>
        <w:t>or PT</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E7D16B" w:rsidR="0084676D" w:rsidRDefault="0084676D" w:rsidP="00043770">
      <w:pPr>
        <w:numPr>
          <w:ilvl w:val="0"/>
          <w:numId w:val="6"/>
        </w:numPr>
        <w:rPr>
          <w:rFonts w:ascii="Calibri" w:hAnsi="Calibri"/>
          <w:sz w:val="22"/>
          <w:szCs w:val="22"/>
        </w:rPr>
      </w:pPr>
      <w:r>
        <w:rPr>
          <w:rFonts w:ascii="Calibri" w:hAnsi="Calibri"/>
          <w:sz w:val="22"/>
          <w:szCs w:val="22"/>
        </w:rPr>
        <w:t>Committed to safeguarding and the health and safety of all students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3C208F32"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xcellent subject knowledge that reflects in the highest quality of education afforded to all students in your care.</w:t>
      </w:r>
    </w:p>
    <w:p w14:paraId="143BE21A" w14:textId="242FF992" w:rsidR="0022454B" w:rsidRDefault="0022454B" w:rsidP="0022454B">
      <w:pPr>
        <w:pStyle w:val="ListParagraph"/>
        <w:numPr>
          <w:ilvl w:val="0"/>
          <w:numId w:val="23"/>
        </w:numPr>
        <w:rPr>
          <w:rFonts w:ascii="Calibri" w:hAnsi="Calibri"/>
          <w:sz w:val="22"/>
          <w:szCs w:val="22"/>
        </w:rPr>
      </w:pPr>
      <w:proofErr w:type="gramStart"/>
      <w:r>
        <w:rPr>
          <w:rFonts w:ascii="Calibri" w:hAnsi="Calibri"/>
          <w:sz w:val="22"/>
          <w:szCs w:val="22"/>
        </w:rPr>
        <w:lastRenderedPageBreak/>
        <w:t xml:space="preserve">Have the ability </w:t>
      </w:r>
      <w:r w:rsidRPr="0022454B">
        <w:rPr>
          <w:rFonts w:ascii="Calibri" w:hAnsi="Calibri"/>
          <w:sz w:val="22"/>
          <w:szCs w:val="22"/>
        </w:rPr>
        <w:t>to</w:t>
      </w:r>
      <w:proofErr w:type="gramEnd"/>
      <w:r w:rsidRPr="0022454B">
        <w:rPr>
          <w:rFonts w:ascii="Calibri" w:hAnsi="Calibri"/>
          <w:sz w:val="22"/>
          <w:szCs w:val="22"/>
        </w:rPr>
        <w:t xml:space="preserve">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06DE84A2"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46237B74"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 xml:space="preserve">Set work for students absent from lessons in line with the </w:t>
      </w:r>
      <w:r w:rsidR="009E5F66" w:rsidRPr="0029293A">
        <w:rPr>
          <w:rFonts w:ascii="Calibri" w:hAnsi="Calibri"/>
          <w:sz w:val="22"/>
          <w:szCs w:val="22"/>
        </w:rPr>
        <w:t>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6F302B8A"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 xml:space="preserve">Provide and input academic progress data in accordance </w:t>
      </w:r>
      <w:proofErr w:type="gramStart"/>
      <w:r>
        <w:rPr>
          <w:rFonts w:ascii="Calibri" w:hAnsi="Calibri"/>
          <w:sz w:val="22"/>
          <w:szCs w:val="22"/>
        </w:rPr>
        <w:t>within</w:t>
      </w:r>
      <w:proofErr w:type="gramEnd"/>
      <w:r>
        <w:rPr>
          <w:rFonts w:ascii="Calibri" w:hAnsi="Calibri"/>
          <w:sz w:val="22"/>
          <w:szCs w:val="22"/>
        </w:rPr>
        <w:t xml:space="preserve">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w:t>
      </w:r>
      <w:proofErr w:type="gramStart"/>
      <w:r w:rsidR="002D1AC8">
        <w:rPr>
          <w:rFonts w:ascii="Calibri" w:hAnsi="Calibri"/>
          <w:sz w:val="22"/>
          <w:szCs w:val="22"/>
        </w:rPr>
        <w:t>parents</w:t>
      </w:r>
      <w:proofErr w:type="gramEnd"/>
      <w:r w:rsidR="002D1AC8">
        <w:rPr>
          <w:rFonts w:ascii="Calibri" w:hAnsi="Calibri"/>
          <w:sz w:val="22"/>
          <w:szCs w:val="22"/>
        </w:rPr>
        <w:t xml:space="preserve">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18C7BE80"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lastRenderedPageBreak/>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4187C58E"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 xml:space="preserve">always </w:t>
      </w:r>
      <w:proofErr w:type="gramStart"/>
      <w:r w:rsidR="00C11CA0">
        <w:rPr>
          <w:rFonts w:ascii="Calibri" w:hAnsi="Calibri" w:cs="Arial"/>
          <w:color w:val="000000"/>
          <w:sz w:val="22"/>
          <w:szCs w:val="22"/>
        </w:rPr>
        <w:t>maintain vigilance</w:t>
      </w:r>
      <w:r w:rsidR="00A62F30">
        <w:rPr>
          <w:rFonts w:ascii="Calibri" w:hAnsi="Calibri" w:cs="Arial"/>
          <w:color w:val="000000"/>
          <w:sz w:val="22"/>
          <w:szCs w:val="22"/>
        </w:rPr>
        <w:t xml:space="preserve"> at all times</w:t>
      </w:r>
      <w:proofErr w:type="gramEnd"/>
      <w:r w:rsidR="00A62F30">
        <w:rPr>
          <w:rFonts w:ascii="Calibri" w:hAnsi="Calibri" w:cs="Arial"/>
          <w:color w:val="000000"/>
          <w:sz w:val="22"/>
          <w:szCs w:val="22"/>
        </w:rPr>
        <w:t>.</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 xml:space="preserve">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w:t>
      </w:r>
      <w:proofErr w:type="gramStart"/>
      <w:r w:rsidRPr="00136FD1">
        <w:rPr>
          <w:rStyle w:val="fontstyle01"/>
        </w:rPr>
        <w:t>during the course of</w:t>
      </w:r>
      <w:proofErr w:type="gramEnd"/>
      <w:r w:rsidRPr="00136FD1">
        <w:rPr>
          <w:rStyle w:val="fontstyle01"/>
        </w:rPr>
        <w:t xml:space="preserve">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 xml:space="preserve">Our offer of work will be conditional upon </w:t>
      </w:r>
      <w:proofErr w:type="gramStart"/>
      <w:r w:rsidRPr="008B53DA">
        <w:rPr>
          <w:rFonts w:ascii="Calibri" w:hAnsi="Calibri" w:cs="Calibri"/>
          <w:sz w:val="22"/>
          <w:szCs w:val="22"/>
        </w:rPr>
        <w:t>a number of</w:t>
      </w:r>
      <w:proofErr w:type="gramEnd"/>
      <w:r w:rsidRPr="008B53DA">
        <w:rPr>
          <w:rFonts w:ascii="Calibri" w:hAnsi="Calibri" w:cs="Calibri"/>
          <w:sz w:val="22"/>
          <w:szCs w:val="22"/>
        </w:rPr>
        <w:t xml:space="preserve">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67C99FCE"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9E5F66">
        <w:rPr>
          <w:rFonts w:ascii="Calibri" w:hAnsi="Calibri"/>
          <w:b/>
          <w:sz w:val="28"/>
          <w:szCs w:val="22"/>
        </w:rPr>
        <w:t>Computer Science</w:t>
      </w:r>
      <w:r w:rsidR="005143FA">
        <w:rPr>
          <w:rFonts w:ascii="Calibri" w:hAnsi="Calibri"/>
          <w:b/>
          <w:sz w:val="28"/>
          <w:szCs w:val="22"/>
        </w:rPr>
        <w:t xml:space="preserve">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72B58EBD" w:rsidR="00C11CA0" w:rsidRDefault="00A62F30" w:rsidP="008F29E4">
            <w:pPr>
              <w:pStyle w:val="ListParagraph"/>
              <w:numPr>
                <w:ilvl w:val="0"/>
                <w:numId w:val="20"/>
              </w:numPr>
            </w:pPr>
            <w:r>
              <w:t xml:space="preserve">Team </w:t>
            </w:r>
            <w:r w:rsidR="009E5F66">
              <w:t>T</w:t>
            </w:r>
            <w:r>
              <w: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246C5E50" w:rsidR="008F29E4" w:rsidRDefault="008F29E4" w:rsidP="008F29E4">
            <w:pPr>
              <w:pStyle w:val="ListParagraph"/>
              <w:numPr>
                <w:ilvl w:val="0"/>
                <w:numId w:val="21"/>
              </w:numPr>
            </w:pPr>
            <w:r w:rsidRPr="004F1239">
              <w:t xml:space="preserve">Experience of </w:t>
            </w:r>
            <w:r w:rsidR="009E5F66" w:rsidRPr="004F1239">
              <w:t>whole class</w:t>
            </w:r>
            <w:r w:rsidRPr="004F1239">
              <w:t xml:space="preserve">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 xml:space="preserve">Professional knowledge and </w:t>
            </w:r>
            <w:proofErr w:type="gramStart"/>
            <w:r w:rsidRPr="004F1239">
              <w:t>Understanding</w:t>
            </w:r>
            <w:proofErr w:type="gramEnd"/>
          </w:p>
        </w:tc>
        <w:tc>
          <w:tcPr>
            <w:tcW w:w="6925" w:type="dxa"/>
          </w:tcPr>
          <w:p w14:paraId="3B121B8B" w14:textId="43C20AD3" w:rsidR="005143FA" w:rsidRDefault="005143FA" w:rsidP="008F29E4">
            <w:pPr>
              <w:pStyle w:val="ListParagraph"/>
              <w:numPr>
                <w:ilvl w:val="0"/>
                <w:numId w:val="22"/>
              </w:numPr>
            </w:pPr>
            <w:r>
              <w:t xml:space="preserve">Excellent subject knowledge </w:t>
            </w:r>
            <w:r w:rsidR="00B2575D">
              <w:t>that reflects in the highest quality of education afforded to all students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w:t>
            </w:r>
            <w:proofErr w:type="gramStart"/>
            <w:r w:rsidR="008F29E4" w:rsidRPr="004F1239">
              <w:t>up to date</w:t>
            </w:r>
            <w:proofErr w:type="gramEnd"/>
            <w:r w:rsidR="008F29E4" w:rsidRPr="004F1239">
              <w:t xml:space="preserv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5F441DC9" w:rsidR="008F29E4" w:rsidRDefault="009E5F66" w:rsidP="00785D2D">
            <w:r w:rsidRPr="004F1239">
              <w:t>Professional Skills</w:t>
            </w:r>
            <w:r w:rsidR="008F29E4" w:rsidRPr="004F1239">
              <w:t xml:space="preserve">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r w:rsidR="00B2575D">
              <w:t xml:space="preserve"> removing barriers.</w:t>
            </w:r>
          </w:p>
          <w:p w14:paraId="3F568CEE" w14:textId="077F455A" w:rsidR="008F29E4" w:rsidRDefault="008F29E4" w:rsidP="008F29E4">
            <w:pPr>
              <w:pStyle w:val="ListParagraph"/>
              <w:numPr>
                <w:ilvl w:val="0"/>
                <w:numId w:val="23"/>
              </w:numPr>
            </w:pPr>
            <w:r w:rsidRPr="004F1239">
              <w:lastRenderedPageBreak/>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182F308A" w:rsidR="008F29E4" w:rsidRDefault="009E5F66"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w:t>
            </w:r>
            <w:proofErr w:type="gramStart"/>
            <w:r w:rsidRPr="004F1239">
              <w:t>in order to</w:t>
            </w:r>
            <w:proofErr w:type="gramEnd"/>
            <w:r w:rsidRPr="004F1239">
              <w:t xml:space="preserve">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r w:rsidRPr="004F1239">
              <w:t>Have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lastRenderedPageBreak/>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t xml:space="preserve">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t>
      </w:r>
      <w:proofErr w:type="gramStart"/>
      <w:r w:rsidRPr="00A75902">
        <w:rPr>
          <w:color w:val="000000"/>
          <w:sz w:val="24"/>
          <w:szCs w:val="24"/>
        </w:rPr>
        <w:t>whether or not</w:t>
      </w:r>
      <w:proofErr w:type="gramEnd"/>
      <w:r w:rsidRPr="00A75902">
        <w:rPr>
          <w:color w:val="000000"/>
          <w:sz w:val="24"/>
          <w:szCs w:val="24"/>
        </w:rPr>
        <w:t xml:space="preserve"> your application is successful at shortlisting. Due to the number of applications the school receives we are </w:t>
      </w:r>
      <w:r w:rsidRPr="00A75902">
        <w:rPr>
          <w:color w:val="000000"/>
          <w:sz w:val="24"/>
          <w:szCs w:val="24"/>
        </w:rPr>
        <w:lastRenderedPageBreak/>
        <w:t>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F34A" w14:textId="77777777" w:rsidR="00AE750F" w:rsidRDefault="00AE750F" w:rsidP="00A230DB">
      <w:r>
        <w:separator/>
      </w:r>
    </w:p>
  </w:endnote>
  <w:endnote w:type="continuationSeparator" w:id="0">
    <w:p w14:paraId="24F887F3" w14:textId="77777777" w:rsidR="00AE750F" w:rsidRDefault="00AE750F"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FE034" w14:textId="77777777" w:rsidR="00AE750F" w:rsidRDefault="00AE750F" w:rsidP="00A230DB">
      <w:r>
        <w:separator/>
      </w:r>
    </w:p>
  </w:footnote>
  <w:footnote w:type="continuationSeparator" w:id="0">
    <w:p w14:paraId="1ADDEF4D" w14:textId="77777777" w:rsidR="00AE750F" w:rsidRDefault="00AE750F"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09C" w14:textId="77777777" w:rsidR="00A230DB" w:rsidRDefault="00A230DB" w:rsidP="009E5F66">
    <w:pPr>
      <w:pStyle w:val="Header"/>
      <w:jc w:val="right"/>
    </w:pPr>
    <w:r>
      <w:rPr>
        <w:rFonts w:asciiTheme="minorHAnsi" w:hAnsiTheme="minorHAnsi"/>
        <w:noProof/>
      </w:rPr>
      <w:drawing>
        <wp:inline distT="0" distB="0" distL="0" distR="0" wp14:anchorId="57DFE0BD" wp14:editId="4FC4BB66">
          <wp:extent cx="797356" cy="797356"/>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00964" cy="800964"/>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465BF"/>
    <w:rsid w:val="00161BCA"/>
    <w:rsid w:val="00167CCA"/>
    <w:rsid w:val="001E39EF"/>
    <w:rsid w:val="001E4644"/>
    <w:rsid w:val="001F67FE"/>
    <w:rsid w:val="00206F16"/>
    <w:rsid w:val="00213490"/>
    <w:rsid w:val="0022454B"/>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5FE6"/>
    <w:rsid w:val="00310036"/>
    <w:rsid w:val="00313BF6"/>
    <w:rsid w:val="0033073A"/>
    <w:rsid w:val="003350F1"/>
    <w:rsid w:val="003355F8"/>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7AFE"/>
    <w:rsid w:val="005D2F29"/>
    <w:rsid w:val="005E6A83"/>
    <w:rsid w:val="005E72F1"/>
    <w:rsid w:val="00615F4B"/>
    <w:rsid w:val="00621313"/>
    <w:rsid w:val="00654A0B"/>
    <w:rsid w:val="006672CA"/>
    <w:rsid w:val="006707C1"/>
    <w:rsid w:val="006A696C"/>
    <w:rsid w:val="006C267D"/>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1102B"/>
    <w:rsid w:val="00923FE8"/>
    <w:rsid w:val="00925EE1"/>
    <w:rsid w:val="00972454"/>
    <w:rsid w:val="00986B18"/>
    <w:rsid w:val="00992380"/>
    <w:rsid w:val="009E08FB"/>
    <w:rsid w:val="009E5F66"/>
    <w:rsid w:val="009F2481"/>
    <w:rsid w:val="009F24A0"/>
    <w:rsid w:val="00A04564"/>
    <w:rsid w:val="00A230DB"/>
    <w:rsid w:val="00A31947"/>
    <w:rsid w:val="00A3371A"/>
    <w:rsid w:val="00A373B2"/>
    <w:rsid w:val="00A422D2"/>
    <w:rsid w:val="00A62F30"/>
    <w:rsid w:val="00A73714"/>
    <w:rsid w:val="00A75902"/>
    <w:rsid w:val="00A77C78"/>
    <w:rsid w:val="00A81C95"/>
    <w:rsid w:val="00A9074A"/>
    <w:rsid w:val="00A92DAD"/>
    <w:rsid w:val="00A9470E"/>
    <w:rsid w:val="00AC1F5E"/>
    <w:rsid w:val="00AD6D73"/>
    <w:rsid w:val="00AE70E5"/>
    <w:rsid w:val="00AE750F"/>
    <w:rsid w:val="00AE7B2F"/>
    <w:rsid w:val="00AF182B"/>
    <w:rsid w:val="00AF235F"/>
    <w:rsid w:val="00B06535"/>
    <w:rsid w:val="00B10BE7"/>
    <w:rsid w:val="00B24368"/>
    <w:rsid w:val="00B2575D"/>
    <w:rsid w:val="00B3258D"/>
    <w:rsid w:val="00B46D13"/>
    <w:rsid w:val="00B638AC"/>
    <w:rsid w:val="00B64DB2"/>
    <w:rsid w:val="00B7440B"/>
    <w:rsid w:val="00B8092E"/>
    <w:rsid w:val="00B81D1A"/>
    <w:rsid w:val="00B85110"/>
    <w:rsid w:val="00BC5C99"/>
    <w:rsid w:val="00BC6604"/>
    <w:rsid w:val="00BE1EE0"/>
    <w:rsid w:val="00BE3828"/>
    <w:rsid w:val="00BE6BED"/>
    <w:rsid w:val="00C07078"/>
    <w:rsid w:val="00C11CA0"/>
    <w:rsid w:val="00C13F3C"/>
    <w:rsid w:val="00C15493"/>
    <w:rsid w:val="00C2090B"/>
    <w:rsid w:val="00C242B2"/>
    <w:rsid w:val="00C351DD"/>
    <w:rsid w:val="00C44688"/>
    <w:rsid w:val="00C55CBB"/>
    <w:rsid w:val="00C765D9"/>
    <w:rsid w:val="00C836B7"/>
    <w:rsid w:val="00C8653D"/>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DF58B7"/>
    <w:rsid w:val="00E012A7"/>
    <w:rsid w:val="00E12354"/>
    <w:rsid w:val="00E13C10"/>
    <w:rsid w:val="00E27A5E"/>
    <w:rsid w:val="00E30CCF"/>
    <w:rsid w:val="00E40BF8"/>
    <w:rsid w:val="00E902A7"/>
    <w:rsid w:val="00E90D30"/>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2</cp:revision>
  <cp:lastPrinted>2015-03-04T11:56:00Z</cp:lastPrinted>
  <dcterms:created xsi:type="dcterms:W3CDTF">2025-03-24T16:07:00Z</dcterms:created>
  <dcterms:modified xsi:type="dcterms:W3CDTF">2025-03-24T16:07:00Z</dcterms:modified>
</cp:coreProperties>
</file>