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jc w:val="center"/>
        <w:rPr>
          <w:rFonts w:ascii="PT Sans" w:cs="PT Sans" w:eastAsia="PT Sans" w:hAnsi="PT Sans"/>
          <w:sz w:val="22"/>
          <w:szCs w:val="22"/>
          <w:u w:val="single"/>
        </w:rPr>
      </w:pPr>
      <w:r w:rsidDel="00000000" w:rsidR="00000000" w:rsidRPr="00000000">
        <w:rPr>
          <w:rFonts w:ascii="PT Sans" w:cs="PT Sans" w:eastAsia="PT Sans" w:hAnsi="PT Sans"/>
          <w:sz w:val="22"/>
          <w:szCs w:val="22"/>
          <w:u w:val="single"/>
          <w:rtl w:val="0"/>
        </w:rPr>
        <w:t xml:space="preserve">Academies Enterprise Trust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ab/>
      </w:r>
      <w:r w:rsidDel="00000000" w:rsidR="00000000" w:rsidRPr="00000000">
        <w:rPr>
          <w:rFonts w:ascii="PT Sans" w:cs="PT Sans" w:eastAsia="PT Sans" w:hAnsi="PT Sans"/>
          <w:sz w:val="22"/>
          <w:szCs w:val="22"/>
          <w:rtl w:val="0"/>
        </w:rPr>
        <w:t xml:space="preserve">HR/Payroll Data Analyst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r>
      <w:r w:rsidDel="00000000" w:rsidR="00000000" w:rsidRPr="00000000">
        <w:rPr>
          <w:rFonts w:ascii="PT Sans" w:cs="PT Sans" w:eastAsia="PT Sans" w:hAnsi="PT Sans"/>
          <w:sz w:val="22"/>
          <w:szCs w:val="22"/>
          <w:rtl w:val="0"/>
        </w:rPr>
        <w:tab/>
      </w:r>
      <w:r w:rsidDel="00000000" w:rsidR="00000000" w:rsidRPr="00000000">
        <w:rPr>
          <w:rFonts w:ascii="PT Sans" w:cs="PT Sans" w:eastAsia="PT Sans" w:hAnsi="PT Sans"/>
          <w:color w:val="000000"/>
          <w:sz w:val="22"/>
          <w:szCs w:val="22"/>
          <w:rtl w:val="0"/>
        </w:rPr>
        <w:t xml:space="preserve">Gateshead</w:t>
      </w:r>
      <w:r w:rsidDel="00000000" w:rsidR="00000000" w:rsidRPr="00000000">
        <w:rPr>
          <w:rFonts w:ascii="PT Sans" w:cs="PT Sans" w:eastAsia="PT Sans" w:hAnsi="PT Sans"/>
          <w:b w:val="1"/>
          <w:sz w:val="22"/>
          <w:szCs w:val="22"/>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Hours of work:</w:t>
        <w:tab/>
        <w:tab/>
      </w:r>
      <w:r w:rsidDel="00000000" w:rsidR="00000000" w:rsidRPr="00000000">
        <w:rPr>
          <w:rFonts w:ascii="PT Sans" w:cs="PT Sans" w:eastAsia="PT Sans" w:hAnsi="PT Sans"/>
          <w:sz w:val="22"/>
          <w:szCs w:val="22"/>
          <w:rtl w:val="0"/>
        </w:rPr>
        <w:t xml:space="preserve">37 hours per week </w:t>
        <w:tab/>
      </w:r>
      <w:r w:rsidDel="00000000" w:rsidR="00000000" w:rsidRPr="00000000">
        <w:rPr>
          <w:rFonts w:ascii="PT Sans" w:cs="PT Sans" w:eastAsia="PT Sans" w:hAnsi="PT Sans"/>
          <w:b w:val="1"/>
          <w:sz w:val="22"/>
          <w:szCs w:val="22"/>
          <w:rtl w:val="0"/>
        </w:rPr>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r>
      <w:r w:rsidDel="00000000" w:rsidR="00000000" w:rsidRPr="00000000">
        <w:rPr>
          <w:rFonts w:ascii="PT Sans" w:cs="PT Sans" w:eastAsia="PT Sans" w:hAnsi="PT Sans"/>
          <w:color w:val="222222"/>
          <w:sz w:val="22"/>
          <w:szCs w:val="22"/>
          <w:rtl w:val="0"/>
        </w:rPr>
        <w:t xml:space="preserve">Payroll Supervisor</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a Payroll service to the academies across the trust and to support the project team with the system administration of iTrent.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Contribute to the </w:t>
      </w:r>
      <w:r w:rsidDel="00000000" w:rsidR="00000000" w:rsidRPr="00000000">
        <w:rPr>
          <w:rFonts w:ascii="PT Sans" w:cs="PT Sans" w:eastAsia="PT Sans" w:hAnsi="PT Sans"/>
          <w:sz w:val="22"/>
          <w:szCs w:val="22"/>
          <w:rtl w:val="0"/>
        </w:rPr>
        <w:t xml:space="preserve">System Administration Team</w:t>
      </w:r>
      <w:r w:rsidDel="00000000" w:rsidR="00000000" w:rsidRPr="00000000">
        <w:rPr>
          <w:rFonts w:ascii="PT Sans" w:cs="PT Sans" w:eastAsia="PT Sans" w:hAnsi="PT Sans"/>
          <w:color w:val="000000"/>
          <w:sz w:val="22"/>
          <w:szCs w:val="22"/>
          <w:rtl w:val="0"/>
        </w:rPr>
        <w:t xml:space="preserve"> by: -</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PT Sans" w:cs="PT Sans" w:eastAsia="PT Sans" w:hAnsi="PT Sans"/>
          <w:color w:val="000000"/>
          <w:sz w:val="22"/>
          <w:szCs w:val="22"/>
        </w:rPr>
      </w:pPr>
      <w:r w:rsidDel="00000000" w:rsidR="00000000" w:rsidRPr="00000000">
        <w:rPr>
          <w:rFonts w:ascii="PT Sans" w:cs="PT Sans" w:eastAsia="PT Sans" w:hAnsi="PT Sans"/>
          <w:sz w:val="22"/>
          <w:szCs w:val="22"/>
          <w:rtl w:val="0"/>
        </w:rPr>
        <w:t xml:space="preserve">Ensuring Payroll data is keyed accurately and timely into iTrent</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Liaise directly with Academies and provide support in scenarios of any query with Payroll data</w:t>
      </w:r>
    </w:p>
    <w:p w:rsidR="00000000" w:rsidDel="00000000" w:rsidP="00000000" w:rsidRDefault="00000000" w:rsidRPr="00000000" w14:paraId="00000016">
      <w:pPr>
        <w:numPr>
          <w:ilvl w:val="0"/>
          <w:numId w:val="3"/>
        </w:numPr>
        <w:ind w:left="108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Liaise directly with Academies to provide Payroll / iTrent support</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PT Sans" w:cs="PT Sans" w:eastAsia="PT Sans" w:hAnsi="PT Sans"/>
          <w:color w:val="000000"/>
          <w:sz w:val="22"/>
          <w:szCs w:val="22"/>
        </w:rPr>
      </w:pPr>
      <w:r w:rsidDel="00000000" w:rsidR="00000000" w:rsidRPr="00000000">
        <w:rPr>
          <w:rFonts w:ascii="PT Sans" w:cs="PT Sans" w:eastAsia="PT Sans" w:hAnsi="PT Sans"/>
          <w:sz w:val="22"/>
          <w:szCs w:val="22"/>
          <w:rtl w:val="0"/>
        </w:rPr>
        <w:t xml:space="preserve">Ensure Payroll queries via the AET’s helpdesk are answered timely</w:t>
      </w: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Assist in training all new users in the use of the system</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User acceptance testing where required</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Maintaining user profiles</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Set up new posts and positions within iTrent where required </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Support Academies staff with the use of Employee Self Service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1080" w:firstLine="0"/>
        <w:rPr>
          <w:rFonts w:ascii="PT Sans" w:cs="PT Sans" w:eastAsia="PT Sans" w:hAnsi="PT Sans"/>
          <w:color w:val="000000"/>
          <w:sz w:val="22"/>
          <w:szCs w:val="22"/>
        </w:rPr>
      </w:pP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Support Academies using the system and maintaining their confidential data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720" w:firstLine="0"/>
        <w:rPr>
          <w:rFonts w:ascii="PT Sans" w:cs="PT Sans" w:eastAsia="PT Sans" w:hAnsi="PT Sans"/>
          <w:color w:val="000000"/>
          <w:sz w:val="22"/>
          <w:szCs w:val="22"/>
        </w:rPr>
      </w:pP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Maintain confidentiality of all data and Academies Enterprise Trust and Academies security at all times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720" w:firstLine="0"/>
        <w:rPr>
          <w:rFonts w:ascii="PT Sans" w:cs="PT Sans" w:eastAsia="PT Sans" w:hAnsi="PT Sans"/>
          <w:color w:val="000000"/>
          <w:sz w:val="22"/>
          <w:szCs w:val="22"/>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Update the AET Comms Portal page with relevant iTrent information if required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UAT testing after system upgrade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360" w:firstLine="0"/>
        <w:rPr>
          <w:rFonts w:ascii="PT Sans" w:cs="PT Sans" w:eastAsia="PT Sans" w:hAnsi="PT Sans"/>
          <w:color w:val="000000"/>
          <w:sz w:val="22"/>
          <w:szCs w:val="22"/>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The post-holder is also required to undertake such other duties and training as may be required by or on behalf of Academies Enterprise Trust provided that they are consistent with the nature of the post. </w:t>
      </w:r>
    </w:p>
    <w:p w:rsidR="00000000" w:rsidDel="00000000" w:rsidP="00000000" w:rsidRDefault="00000000" w:rsidRPr="00000000" w14:paraId="0000002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8">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29">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2A">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2E">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2F">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0">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31">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2">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33">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34">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3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37">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38">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Statement of Conditions of Employment</w:t>
      </w:r>
    </w:p>
    <w:p w:rsidR="00000000" w:rsidDel="00000000" w:rsidP="00000000" w:rsidRDefault="00000000" w:rsidRPr="00000000" w14:paraId="00000039">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A">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B">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C">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There may be occasions when it will be necessary to cover other Administrative roles within the academy or to work with the administrative team when there are peaks and pressing issues.  </w:t>
      </w:r>
      <w:r w:rsidDel="00000000" w:rsidR="00000000" w:rsidRPr="00000000">
        <w:rPr>
          <w:rtl w:val="0"/>
        </w:rPr>
      </w:r>
    </w:p>
    <w:p w:rsidR="00000000" w:rsidDel="00000000" w:rsidP="00000000" w:rsidRDefault="00000000" w:rsidRPr="00000000" w14:paraId="0000003D">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3F">
      <w:pPr>
        <w:spacing w:line="276" w:lineRule="auto"/>
        <w:ind w:left="860" w:hanging="360"/>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0">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41">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42">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3">
      <w:pPr>
        <w:spacing w:line="276" w:lineRule="auto"/>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 </w:t>
      </w:r>
    </w:p>
    <w:p w:rsidR="00000000" w:rsidDel="00000000" w:rsidP="00000000" w:rsidRDefault="00000000" w:rsidRPr="00000000" w14:paraId="00000044">
      <w:pPr>
        <w:spacing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5">
      <w:pPr>
        <w:spacing w:line="276" w:lineRule="auto"/>
        <w:rPr>
          <w:rFonts w:ascii="PT Sans" w:cs="PT Sans" w:eastAsia="PT Sans" w:hAnsi="PT Sans"/>
          <w:b w:val="1"/>
          <w:color w:val="000000"/>
          <w:sz w:val="22"/>
          <w:szCs w:val="22"/>
          <w:u w:val="single"/>
        </w:rPr>
      </w:pPr>
      <w:r w:rsidDel="00000000" w:rsidR="00000000" w:rsidRPr="00000000">
        <w:rPr>
          <w:rFonts w:ascii="PT Sans" w:cs="PT Sans" w:eastAsia="PT Sans" w:hAnsi="PT Sans"/>
          <w:b w:val="1"/>
          <w:color w:val="000000"/>
          <w:sz w:val="22"/>
          <w:szCs w:val="22"/>
          <w:u w:val="single"/>
          <w:rtl w:val="0"/>
        </w:rPr>
        <w:t xml:space="preserve">Person Specification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b w:val="1"/>
          <w:color w:val="000000"/>
          <w:sz w:val="22"/>
          <w:szCs w:val="22"/>
          <w:u w:val="singl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HR/Payroll Data Analyst</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7"/>
        <w:gridCol w:w="1841"/>
        <w:gridCol w:w="3261"/>
        <w:gridCol w:w="2830"/>
        <w:tblGridChange w:id="0">
          <w:tblGrid>
            <w:gridCol w:w="2837"/>
            <w:gridCol w:w="1841"/>
            <w:gridCol w:w="3261"/>
            <w:gridCol w:w="2830"/>
          </w:tblGrid>
        </w:tblGridChange>
      </w:tblGrid>
      <w:tr>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GSCE Maths and English (A – C) or equivalent</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2 A Levels or equivalent Level 3 qualification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72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Payroll qualification</w:t>
            </w:r>
          </w:p>
        </w:tc>
      </w:tr>
      <w:tr>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57">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HR/Payroll systems</w:t>
            </w:r>
          </w:p>
          <w:p w:rsidR="00000000" w:rsidDel="00000000" w:rsidP="00000000" w:rsidRDefault="00000000" w:rsidRPr="00000000" w14:paraId="00000058">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Payroll legislation</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spacing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Intermediate Excel skills</w:t>
            </w:r>
          </w:p>
        </w:tc>
        <w:tc>
          <w:tcPr/>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Recent experience of iTrent</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reconciling data</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before="0" w:lineRule="auto"/>
              <w:ind w:left="720" w:firstLine="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c>
          <w:tcPr/>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forward thinking</w:t>
            </w:r>
          </w:p>
        </w:tc>
        <w:tc>
          <w:tcPr/>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hd w:fill="auto" w:val="clea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c>
          <w:tcPr/>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use Microsoft Office or Google Chrome applications</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communicate effectively at all levels</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organise and prioritise own workload</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Proven ability to meet deadlines</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interpersonal skills</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Analytical skills</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produce and understand statistical data</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respond well to a changing environment </w:t>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Data accuracy</w:t>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concentration levels</w:t>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effectively as part of a team</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0"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7">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travel</w:t>
            </w:r>
          </w:p>
        </w:tc>
      </w:tr>
      <w:tr>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hd w:fill="auto" w:val="clear"/>
              <w:spacing w:after="0" w:lineRule="auto"/>
              <w:ind w:left="708.661417322835" w:right="185.35433070866134"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Strong interpersonal skills, </w:t>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shd w:fill="auto" w:val="clear"/>
              <w:spacing w:after="0" w:before="0" w:lineRule="auto"/>
              <w:ind w:left="708.661417322835" w:right="185.35433070866134"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problem-solve</w:t>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hd w:fill="auto" w:val="clear"/>
              <w:spacing w:after="0" w:before="0" w:lineRule="auto"/>
              <w:ind w:left="708.661417322835" w:right="185.35433070866134"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prioritisation skills</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hd w:fill="auto" w:val="clear"/>
              <w:spacing w:after="0" w:before="0" w:lineRule="auto"/>
              <w:ind w:left="708.661417322835" w:right="185.35433070866134"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Self-organised</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hd w:fill="auto" w:val="clear"/>
              <w:spacing w:after="0" w:before="0" w:lineRule="auto"/>
              <w:ind w:left="708.661417322835" w:right="185.35433070866134"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Team player</w:t>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hd w:fill="auto" w:val="clear"/>
              <w:spacing w:after="0" w:before="0" w:lineRule="auto"/>
              <w:ind w:left="708.661417322835" w:right="185.35433070866134"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unsupervised</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before="0" w:lineRule="auto"/>
              <w:ind w:left="720" w:right="360" w:firstLine="0"/>
              <w:jc w:val="both"/>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hd w:fill="auto" w:val="clea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Successful candidates will be subject to an enhanced Disclosure and Barring Service Check</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shd w:fill="auto" w:val="clear"/>
              <w:spacing w:before="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travel as required</w:t>
            </w:r>
          </w:p>
        </w:tc>
        <w:tc>
          <w:tcPr/>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hd w:fill="auto" w:val="clea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PT Sans" w:cs="PT Sans" w:eastAsia="PT Sans" w:hAnsi="PT Sans"/>
          <w:sz w:val="22"/>
          <w:szCs w:val="22"/>
        </w:rPr>
      </w:pPr>
      <w:r w:rsidDel="00000000" w:rsidR="00000000" w:rsidRPr="00000000">
        <w:rPr>
          <w:rtl w:val="0"/>
        </w:rPr>
      </w:r>
    </w:p>
    <w:sectPr>
      <w:headerReference r:id="rId6" w:type="default"/>
      <w:footerReference r:id="rId7" w:type="default"/>
      <w:pgSz w:h="16838" w:w="11906"/>
      <w:pgMar w:bottom="1440" w:top="1417.322834645669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-863599</wp:posOffset>
              </wp:positionH>
              <wp:positionV relativeFrom="paragraph">
                <wp:posOffset>127000</wp:posOffset>
              </wp:positionV>
              <wp:extent cx="7496175" cy="698463"/>
              <wp:effectExtent b="0" l="0" r="0" t="0"/>
              <wp:wrapTopAndBottom distB="114300" distT="114300"/>
              <wp:docPr id="1" name=""/>
              <a:graphic>
                <a:graphicData uri="http://schemas.microsoft.com/office/word/2010/wordprocessingGroup">
                  <wpg:wgp>
                    <wpg:cNvGrpSpPr/>
                    <wpg:grpSpPr>
                      <a:xfrm>
                        <a:off x="1597913" y="3430769"/>
                        <a:ext cx="7496175" cy="698463"/>
                        <a:chOff x="1597913" y="3430769"/>
                        <a:chExt cx="7496175" cy="698463"/>
                      </a:xfrm>
                    </wpg:grpSpPr>
                    <wpg:grpSp>
                      <wpg:cNvGrpSpPr/>
                      <wpg:grpSpPr>
                        <a:xfrm>
                          <a:off x="1597913" y="3430769"/>
                          <a:ext cx="7496175" cy="698463"/>
                          <a:chOff x="0" y="204550"/>
                          <a:chExt cx="9701700" cy="828000"/>
                        </a:xfrm>
                      </wpg:grpSpPr>
                      <wps:wsp>
                        <wps:cNvSpPr/>
                        <wps:cNvPr id="3" name="Shape 3"/>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5" name="Shape 5"/>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6" name="Shape 6"/>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-863599</wp:posOffset>
              </wp:positionH>
              <wp:positionV relativeFrom="paragraph">
                <wp:posOffset>127000</wp:posOffset>
              </wp:positionV>
              <wp:extent cx="7496175" cy="6984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6175" cy="69846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-869949</wp:posOffset>
              </wp:positionH>
              <wp:positionV relativeFrom="paragraph">
                <wp:posOffset>-6349</wp:posOffset>
              </wp:positionV>
              <wp:extent cx="7491413" cy="663408"/>
              <wp:effectExtent b="0" l="0" r="0" t="0"/>
              <wp:wrapTopAndBottom distB="57150" distT="57150"/>
              <wp:docPr id="2" name=""/>
              <a:graphic>
                <a:graphicData uri="http://schemas.microsoft.com/office/word/2010/wordprocessingGroup">
                  <wpg:wgp>
                    <wpg:cNvGrpSpPr/>
                    <wpg:grpSpPr>
                      <a:xfrm>
                        <a:off x="1600294" y="3448296"/>
                        <a:ext cx="7491413" cy="663408"/>
                        <a:chOff x="1600294" y="3448296"/>
                        <a:chExt cx="7491413" cy="663408"/>
                      </a:xfrm>
                    </wpg:grpSpPr>
                    <wpg:grpSp>
                      <wpg:cNvGrpSpPr/>
                      <wpg:grpSpPr>
                        <a:xfrm>
                          <a:off x="1600294" y="3448296"/>
                          <a:ext cx="7491413" cy="663408"/>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12" name="Shape 12"/>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grpSp>
                  </wpg:wgp>
                </a:graphicData>
              </a:graphic>
            </wp:anchor>
          </w:drawing>
        </mc:Choice>
        <mc:Fallback>
          <w:drawing>
            <wp:anchor allowOverlap="1" behindDoc="0" distB="57150" distT="57150" distL="57150" distR="57150" hidden="0" layoutInCell="1" locked="0" relativeHeight="0" simplePos="0">
              <wp:simplePos x="0" y="0"/>
              <wp:positionH relativeFrom="column">
                <wp:posOffset>-869949</wp:posOffset>
              </wp:positionH>
              <wp:positionV relativeFrom="paragraph">
                <wp:posOffset>-6349</wp:posOffset>
              </wp:positionV>
              <wp:extent cx="7491413" cy="663408"/>
              <wp:effectExtent b="0" l="0" r="0" t="0"/>
              <wp:wrapTopAndBottom distB="57150" distT="5715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491413" cy="66340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