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2">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4">
      <w:pPr>
        <w:ind w:left="0" w:firstLine="0"/>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w:t>
        <w:tab/>
      </w:r>
      <w:r w:rsidDel="00000000" w:rsidR="00000000" w:rsidRPr="00000000">
        <w:rPr>
          <w:rFonts w:ascii="PT Sans" w:cs="PT Sans" w:eastAsia="PT Sans" w:hAnsi="PT Sans"/>
          <w:sz w:val="22"/>
          <w:szCs w:val="22"/>
          <w:rtl w:val="0"/>
        </w:rPr>
        <w:t xml:space="preserve">Remarkable Guide</w:t>
      </w:r>
    </w:p>
    <w:p w:rsidR="00000000" w:rsidDel="00000000" w:rsidP="00000000" w:rsidRDefault="00000000" w:rsidRPr="00000000" w14:paraId="00000005">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ab/>
      </w:r>
    </w:p>
    <w:p w:rsidR="00000000" w:rsidDel="00000000" w:rsidP="00000000" w:rsidRDefault="00000000" w:rsidRPr="00000000" w14:paraId="00000006">
      <w:pPr>
        <w:rPr>
          <w:rFonts w:ascii="PT Sans" w:cs="PT Sans" w:eastAsia="PT Sans" w:hAnsi="PT Sans"/>
          <w:sz w:val="20"/>
          <w:szCs w:val="20"/>
        </w:rPr>
      </w:pPr>
      <w:r w:rsidDel="00000000" w:rsidR="00000000" w:rsidRPr="00000000">
        <w:rPr>
          <w:rFonts w:ascii="PT Sans" w:cs="PT Sans" w:eastAsia="PT Sans" w:hAnsi="PT Sans"/>
          <w:b w:val="1"/>
          <w:sz w:val="22"/>
          <w:szCs w:val="22"/>
          <w:rtl w:val="0"/>
        </w:rPr>
        <w:t xml:space="preserve">Location:</w:t>
        <w:tab/>
      </w:r>
      <w:r w:rsidDel="00000000" w:rsidR="00000000" w:rsidRPr="00000000">
        <w:rPr>
          <w:rFonts w:ascii="PT Sans" w:cs="PT Sans" w:eastAsia="PT Sans" w:hAnsi="PT Sans"/>
          <w:sz w:val="20"/>
          <w:szCs w:val="20"/>
          <w:rtl w:val="0"/>
        </w:rPr>
        <w:t xml:space="preserve">Plumberow Primary Academy, Hockley, Essex </w:t>
      </w:r>
    </w:p>
    <w:p w:rsidR="00000000" w:rsidDel="00000000" w:rsidP="00000000" w:rsidRDefault="00000000" w:rsidRPr="00000000" w14:paraId="00000007">
      <w:pPr>
        <w:ind w:left="1440"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Hull Cluster (Newington Primary Academy, Hall Road Primary Academy, The Green Way Primary Academy, North Thoresby &amp; Utterby)</w:t>
      </w:r>
    </w:p>
    <w:p w:rsidR="00000000" w:rsidDel="00000000" w:rsidP="00000000" w:rsidRDefault="00000000" w:rsidRPr="00000000" w14:paraId="00000008">
      <w:pP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09">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w:t>
        <w:tab/>
        <w:t xml:space="preserve"> </w:t>
      </w:r>
      <w:r w:rsidDel="00000000" w:rsidR="00000000" w:rsidRPr="00000000">
        <w:rPr>
          <w:rFonts w:ascii="PT Sans" w:cs="PT Sans" w:eastAsia="PT Sans" w:hAnsi="PT Sans"/>
          <w:sz w:val="22"/>
          <w:szCs w:val="22"/>
          <w:rtl w:val="0"/>
        </w:rPr>
        <w:t xml:space="preserve">Full Time or Part Time, with flexibility</w:t>
      </w:r>
    </w:p>
    <w:p w:rsidR="00000000" w:rsidDel="00000000" w:rsidP="00000000" w:rsidRDefault="00000000" w:rsidRPr="00000000" w14:paraId="0000000A">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B">
      <w:pPr>
        <w:rPr>
          <w:rFonts w:ascii="PT Sans" w:cs="PT Sans" w:eastAsia="PT Sans" w:hAnsi="PT Sans"/>
          <w:sz w:val="20"/>
          <w:szCs w:val="20"/>
        </w:rPr>
      </w:pPr>
      <w:r w:rsidDel="00000000" w:rsidR="00000000" w:rsidRPr="00000000">
        <w:rPr>
          <w:rFonts w:ascii="PT Sans" w:cs="PT Sans" w:eastAsia="PT Sans" w:hAnsi="PT Sans"/>
          <w:b w:val="1"/>
          <w:sz w:val="22"/>
          <w:szCs w:val="22"/>
          <w:rtl w:val="0"/>
        </w:rPr>
        <w:t xml:space="preserve">Reports to:</w:t>
        <w:tab/>
      </w:r>
      <w:r w:rsidDel="00000000" w:rsidR="00000000" w:rsidRPr="00000000">
        <w:rPr>
          <w:rFonts w:ascii="PT Sans" w:cs="PT Sans" w:eastAsia="PT Sans" w:hAnsi="PT Sans"/>
          <w:sz w:val="20"/>
          <w:szCs w:val="20"/>
          <w:rtl w:val="0"/>
        </w:rPr>
        <w:t xml:space="preserve">Plumberow Primary Academy - Senior Leader</w:t>
      </w:r>
    </w:p>
    <w:p w:rsidR="00000000" w:rsidDel="00000000" w:rsidP="00000000" w:rsidRDefault="00000000" w:rsidRPr="00000000" w14:paraId="0000000C">
      <w:pPr>
        <w:ind w:left="1440" w:firstLine="0"/>
        <w:rPr>
          <w:rFonts w:ascii="PT Sans" w:cs="PT Sans" w:eastAsia="PT Sans" w:hAnsi="PT Sans"/>
          <w:b w:val="1"/>
          <w:sz w:val="22"/>
          <w:szCs w:val="22"/>
        </w:rPr>
      </w:pPr>
      <w:r w:rsidDel="00000000" w:rsidR="00000000" w:rsidRPr="00000000">
        <w:rPr>
          <w:rFonts w:ascii="PT Sans" w:cs="PT Sans" w:eastAsia="PT Sans" w:hAnsi="PT Sans"/>
          <w:sz w:val="20"/>
          <w:szCs w:val="20"/>
          <w:rtl w:val="0"/>
        </w:rPr>
        <w:t xml:space="preserve">Hull Cluster (Newington Primary Academy, Hall Road Primary Academy, The Green Way Primary Academy, North Thoresby &amp; Utterby) - </w:t>
      </w:r>
      <w:r w:rsidDel="00000000" w:rsidR="00000000" w:rsidRPr="00000000">
        <w:rPr>
          <w:rFonts w:ascii="PT Sans" w:cs="PT Sans" w:eastAsia="PT Sans" w:hAnsi="PT Sans"/>
          <w:sz w:val="20"/>
          <w:szCs w:val="20"/>
          <w:rtl w:val="0"/>
        </w:rPr>
        <w:t xml:space="preserve">Senior Leader</w:t>
      </w:r>
      <w:r w:rsidDel="00000000" w:rsidR="00000000" w:rsidRPr="00000000">
        <w:rPr>
          <w:rtl w:val="0"/>
        </w:rPr>
      </w:r>
    </w:p>
    <w:p w:rsidR="00000000" w:rsidDel="00000000" w:rsidP="00000000" w:rsidRDefault="00000000" w:rsidRPr="00000000" w14:paraId="0000000D">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0E">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The Remarkable Guide</w:t>
      </w:r>
    </w:p>
    <w:p w:rsidR="00000000" w:rsidDel="00000000" w:rsidP="00000000" w:rsidRDefault="00000000" w:rsidRPr="00000000" w14:paraId="0000000F">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Remarkable Guide is a brand new, exciting and bespoke role within AET. If children are to become well connected explorers, then the Remarkable Guide serves as the navigator, helping to build learner agency.  As a Remarkable Guide you will not only be crucial in helping students to find their remarkable but also in inspiring them to choose to live a remarkable life. </w:t>
      </w:r>
    </w:p>
    <w:p w:rsidR="00000000" w:rsidDel="00000000" w:rsidP="00000000" w:rsidRDefault="00000000" w:rsidRPr="00000000" w14:paraId="00000011">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2">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successful candidate will work with students, staff, parents and the community to facilitate the opportunities, experiences and encounters which students need to find their remarkable self. You will be working with other professionals inside AET, as well as with external agencies, to develop interventions and strategies which support students with their mental health and wellbeing (self), aspirations and career choices (pathways) and developing initiatives which allow students to fulfil their academic potential. The Remarkable Guide will be instrumental in bringing these three strands together for the benefit of each student. Whilst some of the duties will be working directly with targeted groups of students, a large part will be signposting and developing the interventions and opportunities which others will deliver and ensuring that these are impactful. </w:t>
      </w:r>
    </w:p>
    <w:p w:rsidR="00000000" w:rsidDel="00000000" w:rsidP="00000000" w:rsidRDefault="00000000" w:rsidRPr="00000000" w14:paraId="00000013">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Remarkable Guides will succeed when the pupils they have supported target secure and sustained aspirational destinations that meet their passions and interests. They will inspire students to unlock their potential: find their remarkable, develop their self-confidence, harness their passions and explore pathways and opportunities. </w:t>
      </w:r>
    </w:p>
    <w:p w:rsidR="00000000" w:rsidDel="00000000" w:rsidP="00000000" w:rsidRDefault="00000000" w:rsidRPr="00000000" w14:paraId="00000015">
      <w:pP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To do that, they will empower students to develop in the three dimensions: Academic, Self &amp; Pathways. They will make sure that pupils are not held back from pursuing their passions or achieving their goals by a lack of opportunity or poor curriculum choices. They will tackle the barriers that stand in pupils’ way, so they can seize unusual opportunities. They will wrap a professional network of support around each child, timed and targeted to meet their individual needs.</w:t>
      </w:r>
    </w:p>
    <w:p w:rsidR="00000000" w:rsidDel="00000000" w:rsidP="00000000" w:rsidRDefault="00000000" w:rsidRPr="00000000" w14:paraId="00000016">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7">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w:t>
      </w:r>
    </w:p>
    <w:p w:rsidR="00000000" w:rsidDel="00000000" w:rsidP="00000000" w:rsidRDefault="00000000" w:rsidRPr="00000000" w14:paraId="0000001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9">
      <w:pPr>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inspire students to unlock their potential: find their remarkable/superpower, develop their self confidence, harness their passions and explore the pathways and opportunities which are available to them. </w:t>
      </w:r>
    </w:p>
    <w:p w:rsidR="00000000" w:rsidDel="00000000" w:rsidP="00000000" w:rsidRDefault="00000000" w:rsidRPr="00000000" w14:paraId="0000001A">
      <w:pPr>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ensure students are empowered to develop in the three dimensions of Academic, Self and Pathways. </w:t>
      </w:r>
      <w:r w:rsidDel="00000000" w:rsidR="00000000" w:rsidRPr="00000000">
        <w:rPr>
          <w:rtl w:val="0"/>
        </w:rPr>
      </w:r>
    </w:p>
    <w:p w:rsidR="00000000" w:rsidDel="00000000" w:rsidP="00000000" w:rsidRDefault="00000000" w:rsidRPr="00000000" w14:paraId="0000001B">
      <w:pPr>
        <w:widowControl w:val="0"/>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think carefully and act vigorously to ensure that students are not held back from pursuing their passions or achieving their goals by lack of opportunity or poor curriculum choices. </w:t>
      </w:r>
    </w:p>
    <w:p w:rsidR="00000000" w:rsidDel="00000000" w:rsidP="00000000" w:rsidRDefault="00000000" w:rsidRPr="00000000" w14:paraId="0000001C">
      <w:pPr>
        <w:widowControl w:val="0"/>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act on their students’ behalf, tackling the barriers that stand in their way and giving our young people the means and ability to seize unusual opportunities.</w:t>
      </w:r>
    </w:p>
    <w:p w:rsidR="00000000" w:rsidDel="00000000" w:rsidP="00000000" w:rsidRDefault="00000000" w:rsidRPr="00000000" w14:paraId="0000001D">
      <w:pPr>
        <w:widowControl w:val="0"/>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enhance social capital by wrapping a professional network of support around each child that is timed and targeted to meet their individual needs. </w:t>
      </w:r>
    </w:p>
    <w:p w:rsidR="00000000" w:rsidDel="00000000" w:rsidP="00000000" w:rsidRDefault="00000000" w:rsidRPr="00000000" w14:paraId="0000001E">
      <w:pPr>
        <w:widowControl w:val="0"/>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Remarkable Guides are successful when the young people they have supported and guided target secure and sustain aspirational destinations that meet their passions and interests. </w:t>
      </w:r>
    </w:p>
    <w:p w:rsidR="00000000" w:rsidDel="00000000" w:rsidP="00000000" w:rsidRDefault="00000000" w:rsidRPr="00000000" w14:paraId="0000001F">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promote and adhere to the Trust’s values to be unusually brave, discover what’s possible, push the limits and be big hearted. </w:t>
      </w:r>
      <w:r w:rsidDel="00000000" w:rsidR="00000000" w:rsidRPr="00000000">
        <w:rPr>
          <w:rtl w:val="0"/>
        </w:rPr>
      </w:r>
    </w:p>
    <w:p w:rsidR="00000000" w:rsidDel="00000000" w:rsidP="00000000" w:rsidRDefault="00000000" w:rsidRPr="00000000" w14:paraId="00000020">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1">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Responsibilities:</w:t>
      </w:r>
    </w:p>
    <w:p w:rsidR="00000000" w:rsidDel="00000000" w:rsidP="00000000" w:rsidRDefault="00000000" w:rsidRPr="00000000" w14:paraId="0000002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23">
      <w:pPr>
        <w:widowControl w:val="0"/>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Mentor and support pupils of all ages; in small groups and one to one sessions.</w:t>
      </w:r>
    </w:p>
    <w:p w:rsidR="00000000" w:rsidDel="00000000" w:rsidP="00000000" w:rsidRDefault="00000000" w:rsidRPr="00000000" w14:paraId="00000024">
      <w:pPr>
        <w:widowControl w:val="0"/>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Coach students to develop wellbeing, resilience and understanding of themselves: the self.</w:t>
      </w:r>
    </w:p>
    <w:p w:rsidR="00000000" w:rsidDel="00000000" w:rsidP="00000000" w:rsidRDefault="00000000" w:rsidRPr="00000000" w14:paraId="00000025">
      <w:pPr>
        <w:widowControl w:val="0"/>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Guide students with their choices as they discover their passions: their pathways. </w:t>
      </w:r>
    </w:p>
    <w:p w:rsidR="00000000" w:rsidDel="00000000" w:rsidP="00000000" w:rsidRDefault="00000000" w:rsidRPr="00000000" w14:paraId="00000026">
      <w:pPr>
        <w:widowControl w:val="0"/>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Connect students with a wide range of opportunities and experiences that match their passions.</w:t>
      </w:r>
    </w:p>
    <w:p w:rsidR="00000000" w:rsidDel="00000000" w:rsidP="00000000" w:rsidRDefault="00000000" w:rsidRPr="00000000" w14:paraId="00000027">
      <w:pPr>
        <w:widowControl w:val="0"/>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Secure the best possible pathways for each and every child, and help to open doors that lead to their future destinations.</w:t>
      </w:r>
    </w:p>
    <w:p w:rsidR="00000000" w:rsidDel="00000000" w:rsidP="00000000" w:rsidRDefault="00000000" w:rsidRPr="00000000" w14:paraId="00000028">
      <w:pPr>
        <w:widowControl w:val="0"/>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Ensure that every child has access to enhanced pastoral support and targeted mentoring and support when they need it. </w:t>
      </w:r>
    </w:p>
    <w:p w:rsidR="00000000" w:rsidDel="00000000" w:rsidP="00000000" w:rsidRDefault="00000000" w:rsidRPr="00000000" w14:paraId="00000029">
      <w:pPr>
        <w:widowControl w:val="0"/>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Work with colleagues across the school to ensure that every child is understood and enabled to thrive from the perspective of Academic Self &amp; Pathway. </w:t>
      </w:r>
    </w:p>
    <w:p w:rsidR="00000000" w:rsidDel="00000000" w:rsidP="00000000" w:rsidRDefault="00000000" w:rsidRPr="00000000" w14:paraId="0000002A">
      <w:pPr>
        <w:widowControl w:val="0"/>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Identify, signpost and put in place additional support from other professional agencies to support students with their development in the three dimensions of self, academic and pathways.</w:t>
      </w:r>
    </w:p>
    <w:p w:rsidR="00000000" w:rsidDel="00000000" w:rsidP="00000000" w:rsidRDefault="00000000" w:rsidRPr="00000000" w14:paraId="0000002B">
      <w:pPr>
        <w:widowControl w:val="0"/>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Record, track and monitor the progress of agreed actions and interventions</w:t>
      </w:r>
    </w:p>
    <w:p w:rsidR="00000000" w:rsidDel="00000000" w:rsidP="00000000" w:rsidRDefault="00000000" w:rsidRPr="00000000" w14:paraId="0000002C">
      <w:pPr>
        <w:widowControl w:val="0"/>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Liaise with parents to ensure that they are equipped to support their child's progress and development.</w:t>
      </w:r>
    </w:p>
    <w:p w:rsidR="00000000" w:rsidDel="00000000" w:rsidP="00000000" w:rsidRDefault="00000000" w:rsidRPr="00000000" w14:paraId="0000002D">
      <w:pPr>
        <w:widowControl w:val="0"/>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Developing community initiatives which engage students with local organisations to make a difference. </w:t>
      </w:r>
    </w:p>
    <w:p w:rsidR="00000000" w:rsidDel="00000000" w:rsidP="00000000" w:rsidRDefault="00000000" w:rsidRPr="00000000" w14:paraId="0000002E">
      <w:pPr>
        <w:widowControl w:val="0"/>
        <w:spacing w:line="276" w:lineRule="auto"/>
        <w:ind w:left="720" w:firstLine="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F">
      <w:pPr>
        <w:widowControl w:val="0"/>
        <w:shd w:fill="ffffff" w:val="clea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By 2025 we want all AET students to have an opportunity to forge their own remarkable education. Three key strands will underpin this aim - 'Academic', 'Self' and 'Pathways'. Being a ‘Remarkable Guide’ is about ensuring that all children are successfully supported into the next stage of their lives. We want children to explore what is out there, experience a range of different encounters and take advantage of opportunities. Ultimately, we want to: </w:t>
      </w:r>
    </w:p>
    <w:p w:rsidR="00000000" w:rsidDel="00000000" w:rsidP="00000000" w:rsidRDefault="00000000" w:rsidRPr="00000000" w14:paraId="00000030">
      <w:pPr>
        <w:widowControl w:val="0"/>
        <w:numPr>
          <w:ilvl w:val="0"/>
          <w:numId w:val="10"/>
        </w:numPr>
        <w:spacing w:after="0" w:afterAutospacing="0" w:before="200" w:line="276" w:lineRule="auto"/>
        <w:ind w:left="940" w:hanging="360"/>
        <w:rPr>
          <w:rFonts w:ascii="PT Sans" w:cs="PT Sans" w:eastAsia="PT Sans" w:hAnsi="PT Sans"/>
        </w:rPr>
      </w:pPr>
      <w:r w:rsidDel="00000000" w:rsidR="00000000" w:rsidRPr="00000000">
        <w:rPr>
          <w:rFonts w:ascii="PT Sans" w:cs="PT Sans" w:eastAsia="PT Sans" w:hAnsi="PT Sans"/>
          <w:color w:val="222222"/>
          <w:sz w:val="22"/>
          <w:szCs w:val="22"/>
          <w:rtl w:val="0"/>
        </w:rPr>
        <w:t xml:space="preserve">develop a systematic approach that prepares children for tomorrow and to be successful in the world </w:t>
      </w:r>
    </w:p>
    <w:p w:rsidR="00000000" w:rsidDel="00000000" w:rsidP="00000000" w:rsidRDefault="00000000" w:rsidRPr="00000000" w14:paraId="00000031">
      <w:pPr>
        <w:widowControl w:val="0"/>
        <w:numPr>
          <w:ilvl w:val="0"/>
          <w:numId w:val="10"/>
        </w:numPr>
        <w:spacing w:after="0" w:afterAutospacing="0" w:before="0" w:beforeAutospacing="0" w:line="276" w:lineRule="auto"/>
        <w:ind w:left="940" w:hanging="360"/>
        <w:rPr>
          <w:rFonts w:ascii="PT Sans" w:cs="PT Sans" w:eastAsia="PT Sans" w:hAnsi="PT Sans"/>
        </w:rPr>
      </w:pPr>
      <w:r w:rsidDel="00000000" w:rsidR="00000000" w:rsidRPr="00000000">
        <w:rPr>
          <w:rFonts w:ascii="PT Sans" w:cs="PT Sans" w:eastAsia="PT Sans" w:hAnsi="PT Sans"/>
          <w:color w:val="222222"/>
          <w:sz w:val="22"/>
          <w:szCs w:val="22"/>
          <w:rtl w:val="0"/>
        </w:rPr>
        <w:t xml:space="preserve">create a provision that broadens, rather than narrows, choice and experiences and supports progression</w:t>
      </w:r>
    </w:p>
    <w:p w:rsidR="00000000" w:rsidDel="00000000" w:rsidP="00000000" w:rsidRDefault="00000000" w:rsidRPr="00000000" w14:paraId="00000032">
      <w:pPr>
        <w:widowControl w:val="0"/>
        <w:numPr>
          <w:ilvl w:val="0"/>
          <w:numId w:val="10"/>
        </w:numPr>
        <w:spacing w:after="0" w:afterAutospacing="0" w:before="0" w:beforeAutospacing="0" w:line="276" w:lineRule="auto"/>
        <w:ind w:left="940" w:hanging="360"/>
        <w:rPr>
          <w:rFonts w:ascii="PT Sans" w:cs="PT Sans" w:eastAsia="PT Sans" w:hAnsi="PT Sans"/>
        </w:rPr>
      </w:pPr>
      <w:r w:rsidDel="00000000" w:rsidR="00000000" w:rsidRPr="00000000">
        <w:rPr>
          <w:rFonts w:ascii="PT Sans" w:cs="PT Sans" w:eastAsia="PT Sans" w:hAnsi="PT Sans"/>
          <w:color w:val="222222"/>
          <w:sz w:val="22"/>
          <w:szCs w:val="22"/>
          <w:rtl w:val="0"/>
        </w:rPr>
        <w:t xml:space="preserve">establish a mindset shift about how, where, when and what children learn</w:t>
      </w:r>
    </w:p>
    <w:p w:rsidR="00000000" w:rsidDel="00000000" w:rsidP="00000000" w:rsidRDefault="00000000" w:rsidRPr="00000000" w14:paraId="00000033">
      <w:pPr>
        <w:widowControl w:val="0"/>
        <w:numPr>
          <w:ilvl w:val="0"/>
          <w:numId w:val="10"/>
        </w:numPr>
        <w:spacing w:after="0" w:afterAutospacing="0" w:before="0" w:beforeAutospacing="0" w:line="276" w:lineRule="auto"/>
        <w:ind w:left="940" w:hanging="360"/>
        <w:rPr>
          <w:rFonts w:ascii="PT Sans" w:cs="PT Sans" w:eastAsia="PT Sans" w:hAnsi="PT Sans"/>
        </w:rPr>
      </w:pPr>
      <w:r w:rsidDel="00000000" w:rsidR="00000000" w:rsidRPr="00000000">
        <w:rPr>
          <w:rFonts w:ascii="PT Sans" w:cs="PT Sans" w:eastAsia="PT Sans" w:hAnsi="PT Sans"/>
          <w:color w:val="222222"/>
          <w:sz w:val="22"/>
          <w:szCs w:val="22"/>
          <w:rtl w:val="0"/>
        </w:rPr>
        <w:t xml:space="preserve">nurture the development of character, confidence and independence</w:t>
      </w:r>
    </w:p>
    <w:p w:rsidR="00000000" w:rsidDel="00000000" w:rsidP="00000000" w:rsidRDefault="00000000" w:rsidRPr="00000000" w14:paraId="00000034">
      <w:pPr>
        <w:widowControl w:val="0"/>
        <w:numPr>
          <w:ilvl w:val="0"/>
          <w:numId w:val="10"/>
        </w:numPr>
        <w:spacing w:after="200" w:before="0" w:beforeAutospacing="0" w:line="276" w:lineRule="auto"/>
        <w:ind w:left="940" w:hanging="360"/>
        <w:rPr>
          <w:rFonts w:ascii="PT Sans" w:cs="PT Sans" w:eastAsia="PT Sans" w:hAnsi="PT Sans"/>
        </w:rPr>
      </w:pPr>
      <w:r w:rsidDel="00000000" w:rsidR="00000000" w:rsidRPr="00000000">
        <w:rPr>
          <w:rFonts w:ascii="PT Sans" w:cs="PT Sans" w:eastAsia="PT Sans" w:hAnsi="PT Sans"/>
          <w:color w:val="222222"/>
          <w:sz w:val="22"/>
          <w:szCs w:val="22"/>
          <w:rtl w:val="0"/>
        </w:rPr>
        <w:t xml:space="preserve">ensure students gain great academic and technical qualifications </w:t>
      </w:r>
      <w:r w:rsidDel="00000000" w:rsidR="00000000" w:rsidRPr="00000000">
        <w:rPr>
          <w:rtl w:val="0"/>
        </w:rPr>
      </w:r>
    </w:p>
    <w:p w:rsidR="00000000" w:rsidDel="00000000" w:rsidP="00000000" w:rsidRDefault="00000000" w:rsidRPr="00000000" w14:paraId="00000035">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Employee value proposition:</w:t>
      </w:r>
    </w:p>
    <w:p w:rsidR="00000000" w:rsidDel="00000000" w:rsidP="00000000" w:rsidRDefault="00000000" w:rsidRPr="00000000" w14:paraId="00000036">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37">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38">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39">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Our values: </w:t>
      </w:r>
    </w:p>
    <w:p w:rsidR="00000000" w:rsidDel="00000000" w:rsidP="00000000" w:rsidRDefault="00000000" w:rsidRPr="00000000" w14:paraId="0000003A">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3B">
      <w:pPr>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3C">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3D">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3E">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3F">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40">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41">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2">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 clauses:</w:t>
      </w:r>
    </w:p>
    <w:p w:rsidR="00000000" w:rsidDel="00000000" w:rsidP="00000000" w:rsidRDefault="00000000" w:rsidRPr="00000000" w14:paraId="00000043">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4">
      <w:pPr>
        <w:spacing w:line="276" w:lineRule="auto"/>
        <w:ind w:left="860" w:hanging="360"/>
        <w:rPr>
          <w:rFonts w:ascii="PT Sans" w:cs="PT Sans" w:eastAsia="PT Sans" w:hAnsi="PT Sans"/>
          <w:b w:val="1"/>
          <w:color w:val="222222"/>
          <w:sz w:val="22"/>
          <w:szCs w:val="22"/>
          <w:highlight w:val="white"/>
        </w:rPr>
      </w:pPr>
      <w:r w:rsidDel="00000000" w:rsidR="00000000" w:rsidRPr="00000000">
        <w:rPr>
          <w:rFonts w:ascii="PT Sans" w:cs="PT Sans" w:eastAsia="PT Sans" w:hAnsi="PT Sans"/>
          <w:color w:val="222222"/>
          <w:sz w:val="22"/>
          <w:szCs w:val="22"/>
          <w:rtl w:val="0"/>
        </w:rPr>
        <w:t xml:space="preserve">1.    The above responsibilities are subject to the general duties and responsibilities contained in the </w:t>
      </w:r>
      <w:r w:rsidDel="00000000" w:rsidR="00000000" w:rsidRPr="00000000">
        <w:rPr>
          <w:rFonts w:ascii="PT Sans" w:cs="PT Sans" w:eastAsia="PT Sans" w:hAnsi="PT Sans"/>
          <w:color w:val="222222"/>
          <w:sz w:val="22"/>
          <w:szCs w:val="22"/>
          <w:highlight w:val="white"/>
          <w:rtl w:val="0"/>
        </w:rPr>
        <w:t xml:space="preserve">Statement of Conditions of Employment. </w:t>
      </w:r>
      <w:r w:rsidDel="00000000" w:rsidR="00000000" w:rsidRPr="00000000">
        <w:rPr>
          <w:rtl w:val="0"/>
        </w:rPr>
      </w:r>
    </w:p>
    <w:p w:rsidR="00000000" w:rsidDel="00000000" w:rsidP="00000000" w:rsidRDefault="00000000" w:rsidRPr="00000000" w14:paraId="00000045">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46">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7">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48">
      <w:pPr>
        <w:spacing w:line="276" w:lineRule="auto"/>
        <w:ind w:left="860" w:hanging="360"/>
        <w:rPr>
          <w:rFonts w:ascii="PT Sans" w:cs="PT Sans" w:eastAsia="PT Sans" w:hAnsi="PT Sans"/>
          <w:b w:val="1"/>
          <w:sz w:val="22"/>
          <w:szCs w:val="22"/>
        </w:rPr>
      </w:pPr>
      <w:r w:rsidDel="00000000" w:rsidR="00000000" w:rsidRPr="00000000">
        <w:rPr>
          <w:rFonts w:ascii="PT Sans" w:cs="PT Sans" w:eastAsia="PT Sans" w:hAnsi="PT Sans"/>
          <w:color w:val="222222"/>
          <w:sz w:val="22"/>
          <w:szCs w:val="22"/>
          <w:rtl w:val="0"/>
        </w:rPr>
        <w:t xml:space="preserve">5.</w:t>
        <w:tab/>
      </w:r>
      <w:r w:rsidDel="00000000" w:rsidR="00000000" w:rsidRPr="00000000">
        <w:rPr>
          <w:rFonts w:ascii="PT Sans" w:cs="PT Sans" w:eastAsia="PT Sans" w:hAnsi="PT Sans"/>
          <w:color w:val="222222"/>
          <w:sz w:val="22"/>
          <w:szCs w:val="22"/>
          <w:rtl w:val="0"/>
        </w:rPr>
        <w:t xml:space="preserve">There may be occasions when it will be necessary to cover other Administrative roles within the academy or to work with the administrative team when there are peaks and pressing issues. </w:t>
      </w:r>
      <w:r w:rsidDel="00000000" w:rsidR="00000000" w:rsidRPr="00000000">
        <w:rPr>
          <w:rFonts w:ascii="PT Sans" w:cs="PT Sans" w:eastAsia="PT Sans" w:hAnsi="PT Sans"/>
          <w:color w:val="222222"/>
          <w:sz w:val="22"/>
          <w:szCs w:val="22"/>
          <w:rtl w:val="0"/>
        </w:rPr>
        <w:t xml:space="preserve"> </w:t>
      </w:r>
      <w:r w:rsidDel="00000000" w:rsidR="00000000" w:rsidRPr="00000000">
        <w:rPr>
          <w:rtl w:val="0"/>
        </w:rPr>
      </w:r>
    </w:p>
    <w:p w:rsidR="00000000" w:rsidDel="00000000" w:rsidP="00000000" w:rsidRDefault="00000000" w:rsidRPr="00000000" w14:paraId="00000049">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6.</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A">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7.    Postholder may deal with sensitive material and should maintain confidentiality in all academy related matters.</w:t>
      </w:r>
    </w:p>
    <w:p w:rsidR="00000000" w:rsidDel="00000000" w:rsidP="00000000" w:rsidRDefault="00000000" w:rsidRPr="00000000" w14:paraId="0000004B">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w:t>
      </w:r>
    </w:p>
    <w:p w:rsidR="00000000" w:rsidDel="00000000" w:rsidP="00000000" w:rsidRDefault="00000000" w:rsidRPr="00000000" w14:paraId="0000004C">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4D">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4E">
      <w:pPr>
        <w:spacing w:line="276" w:lineRule="auto"/>
        <w:rPr>
          <w:rFonts w:ascii="PT Sans" w:cs="PT Sans" w:eastAsia="PT Sans" w:hAnsi="PT Sans"/>
          <w:b w:val="1"/>
          <w:color w:val="222222"/>
          <w:sz w:val="22"/>
          <w:szCs w:val="22"/>
          <w:highlight w:val="magenta"/>
          <w:u w:val="single"/>
        </w:rPr>
      </w:pPr>
      <w:r w:rsidDel="00000000" w:rsidR="00000000" w:rsidRPr="00000000">
        <w:rPr>
          <w:rFonts w:ascii="PT Sans" w:cs="PT Sans" w:eastAsia="PT Sans" w:hAnsi="PT Sans"/>
          <w:b w:val="1"/>
          <w:color w:val="222222"/>
          <w:sz w:val="22"/>
          <w:szCs w:val="22"/>
          <w:highlight w:val="magenta"/>
          <w:u w:val="single"/>
          <w:rtl w:val="0"/>
        </w:rPr>
        <w:t xml:space="preserve"> </w:t>
      </w:r>
    </w:p>
    <w:p w:rsidR="00000000" w:rsidDel="00000000" w:rsidP="00000000" w:rsidRDefault="00000000" w:rsidRPr="00000000" w14:paraId="0000004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9">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B">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7">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6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9">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w:t>
      </w:r>
      <w:r w:rsidDel="00000000" w:rsidR="00000000" w:rsidRPr="00000000">
        <w:rPr>
          <w:rFonts w:ascii="PT Sans" w:cs="PT Sans" w:eastAsia="PT Sans" w:hAnsi="PT Sans"/>
          <w:sz w:val="22"/>
          <w:szCs w:val="22"/>
          <w:rtl w:val="0"/>
        </w:rPr>
        <w:t xml:space="preserve">Remarkable Guide</w:t>
      </w:r>
      <w:r w:rsidDel="00000000" w:rsidR="00000000" w:rsidRPr="00000000">
        <w:rPr>
          <w:rtl w:val="0"/>
        </w:rPr>
      </w:r>
    </w:p>
    <w:p w:rsidR="00000000" w:rsidDel="00000000" w:rsidP="00000000" w:rsidRDefault="00000000" w:rsidRPr="00000000" w14:paraId="0000006A">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  </w:t>
      </w:r>
      <w:r w:rsidDel="00000000" w:rsidR="00000000" w:rsidRPr="00000000">
        <w:rPr>
          <w:rtl w:val="0"/>
        </w:rPr>
      </w:r>
    </w:p>
    <w:tbl>
      <w:tblPr>
        <w:tblStyle w:val="Table1"/>
        <w:tblW w:w="106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5"/>
        <w:gridCol w:w="2025"/>
        <w:gridCol w:w="3570"/>
        <w:gridCol w:w="2610"/>
        <w:tblGridChange w:id="0">
          <w:tblGrid>
            <w:gridCol w:w="2445"/>
            <w:gridCol w:w="2025"/>
            <w:gridCol w:w="3570"/>
            <w:gridCol w:w="2610"/>
          </w:tblGrid>
        </w:tblGridChange>
      </w:tblGrid>
      <w:tr>
        <w:tc>
          <w:tcPr/>
          <w:p w:rsidR="00000000" w:rsidDel="00000000" w:rsidP="00000000" w:rsidRDefault="00000000" w:rsidRPr="00000000" w14:paraId="0000006B">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6C">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6D">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6E">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c>
          <w:tcPr/>
          <w:p w:rsidR="00000000" w:rsidDel="00000000" w:rsidP="00000000" w:rsidRDefault="00000000" w:rsidRPr="00000000" w14:paraId="0000006F">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r w:rsidDel="00000000" w:rsidR="00000000" w:rsidRPr="00000000">
              <w:rPr>
                <w:rtl w:val="0"/>
              </w:rPr>
            </w:r>
          </w:p>
        </w:tc>
        <w:tc>
          <w:tcPr/>
          <w:p w:rsidR="00000000" w:rsidDel="00000000" w:rsidP="00000000" w:rsidRDefault="00000000" w:rsidRPr="00000000" w14:paraId="0000007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p w:rsidR="00000000" w:rsidDel="00000000" w:rsidP="00000000" w:rsidRDefault="00000000" w:rsidRPr="00000000" w14:paraId="00000071">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PT Sans" w:cs="PT Sans" w:eastAsia="PT Sans" w:hAnsi="PT Sans"/>
                <w:sz w:val="22"/>
                <w:szCs w:val="22"/>
              </w:rPr>
            </w:pPr>
            <w:r w:rsidDel="00000000" w:rsidR="00000000" w:rsidRPr="00000000">
              <w:rPr>
                <w:rFonts w:ascii="PT Sans" w:cs="PT Sans" w:eastAsia="PT Sans" w:hAnsi="PT Sans"/>
                <w:color w:val="38761d"/>
                <w:sz w:val="22"/>
                <w:szCs w:val="22"/>
                <w:rtl w:val="0"/>
              </w:rPr>
              <w:t xml:space="preserve">Level 3 qualifications including successful Level 2 English and Maths qualifications</w:t>
            </w:r>
            <w:r w:rsidDel="00000000" w:rsidR="00000000" w:rsidRPr="00000000">
              <w:rPr>
                <w:rtl w:val="0"/>
              </w:rPr>
            </w:r>
          </w:p>
        </w:tc>
        <w:tc>
          <w:tcPr/>
          <w:p w:rsidR="00000000" w:rsidDel="00000000" w:rsidP="00000000" w:rsidRDefault="00000000" w:rsidRPr="00000000" w14:paraId="0000007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 Mentoring, Coaching or Careers Guidance qualification or willingness to work towards one</w:t>
            </w:r>
          </w:p>
        </w:tc>
      </w:tr>
      <w:tr>
        <w:tc>
          <w:tcPr/>
          <w:p w:rsidR="00000000" w:rsidDel="00000000" w:rsidP="00000000" w:rsidRDefault="00000000" w:rsidRPr="00000000" w14:paraId="00000073">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r w:rsidDel="00000000" w:rsidR="00000000" w:rsidRPr="00000000">
              <w:rPr>
                <w:rtl w:val="0"/>
              </w:rPr>
            </w:r>
          </w:p>
        </w:tc>
        <w:tc>
          <w:tcPr/>
          <w:p w:rsidR="00000000" w:rsidDel="00000000" w:rsidP="00000000" w:rsidRDefault="00000000" w:rsidRPr="00000000" w14:paraId="00000074">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7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p w:rsidR="00000000" w:rsidDel="00000000" w:rsidP="00000000" w:rsidRDefault="00000000" w:rsidRPr="00000000" w14:paraId="00000076">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Knowledge of CEIAG</w:t>
            </w:r>
          </w:p>
          <w:p w:rsidR="00000000" w:rsidDel="00000000" w:rsidP="00000000" w:rsidRDefault="00000000" w:rsidRPr="00000000" w14:paraId="00000077">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Previous experience working with universities, employers or training providers</w:t>
            </w:r>
          </w:p>
          <w:p w:rsidR="00000000" w:rsidDel="00000000" w:rsidP="00000000" w:rsidRDefault="00000000" w:rsidRPr="00000000" w14:paraId="00000078">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linking schools and pupils with external providers of experiences</w:t>
            </w:r>
            <w:r w:rsidDel="00000000" w:rsidR="00000000" w:rsidRPr="00000000">
              <w:rPr>
                <w:rtl w:val="0"/>
              </w:rPr>
            </w:r>
          </w:p>
          <w:p w:rsidR="00000000" w:rsidDel="00000000" w:rsidP="00000000" w:rsidRDefault="00000000" w:rsidRPr="00000000" w14:paraId="00000079">
            <w:pPr>
              <w:widowControl w:val="0"/>
              <w:numPr>
                <w:ilvl w:val="0"/>
                <w:numId w:val="1"/>
              </w:numPr>
              <w:spacing w:line="276" w:lineRule="auto"/>
              <w:ind w:left="720" w:hanging="360"/>
              <w:rPr>
                <w:rFonts w:ascii="PT Sans" w:cs="PT Sans" w:eastAsia="PT Sans" w:hAnsi="PT Sans"/>
                <w:sz w:val="22"/>
                <w:szCs w:val="22"/>
                <w:highlight w:val="white"/>
              </w:rPr>
            </w:pPr>
            <w:r w:rsidDel="00000000" w:rsidR="00000000" w:rsidRPr="00000000">
              <w:rPr>
                <w:rFonts w:ascii="PT Sans" w:cs="PT Sans" w:eastAsia="PT Sans" w:hAnsi="PT Sans"/>
                <w:sz w:val="22"/>
                <w:szCs w:val="22"/>
                <w:highlight w:val="white"/>
                <w:rtl w:val="0"/>
              </w:rPr>
              <w:t xml:space="preserve">Have excellent knowledge of how to support pupils to explore their passions</w:t>
            </w:r>
          </w:p>
        </w:tc>
        <w:tc>
          <w:tcPr/>
          <w:p w:rsidR="00000000" w:rsidDel="00000000" w:rsidP="00000000" w:rsidRDefault="00000000" w:rsidRPr="00000000" w14:paraId="0000007A">
            <w:pPr>
              <w:numPr>
                <w:ilvl w:val="0"/>
                <w:numId w:val="6"/>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n/a</w:t>
            </w:r>
          </w:p>
        </w:tc>
      </w:tr>
      <w:tr>
        <w:tc>
          <w:tcPr>
            <w:vMerge w:val="restart"/>
          </w:tcPr>
          <w:p w:rsidR="00000000" w:rsidDel="00000000" w:rsidP="00000000" w:rsidRDefault="00000000" w:rsidRPr="00000000" w14:paraId="0000007B">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Skills</w:t>
            </w:r>
            <w:r w:rsidDel="00000000" w:rsidR="00000000" w:rsidRPr="00000000">
              <w:rPr>
                <w:rtl w:val="0"/>
              </w:rPr>
            </w:r>
          </w:p>
        </w:tc>
        <w:tc>
          <w:tcPr/>
          <w:p w:rsidR="00000000" w:rsidDel="00000000" w:rsidP="00000000" w:rsidRDefault="00000000" w:rsidRPr="00000000" w14:paraId="0000007C">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Line management responsibilities (No.)</w:t>
            </w:r>
          </w:p>
        </w:tc>
        <w:tc>
          <w:tcPr/>
          <w:p w:rsidR="00000000" w:rsidDel="00000000" w:rsidP="00000000" w:rsidRDefault="00000000" w:rsidRPr="00000000" w14:paraId="0000007D">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tab/>
              <w:tab/>
            </w:r>
          </w:p>
        </w:tc>
        <w:tc>
          <w:tcPr/>
          <w:p w:rsidR="00000000" w:rsidDel="00000000" w:rsidP="00000000" w:rsidRDefault="00000000" w:rsidRPr="00000000" w14:paraId="0000007E">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tc>
      </w:tr>
      <w:tr>
        <w:tc>
          <w:tcPr>
            <w:vMerge w:val="continue"/>
          </w:tcPr>
          <w:p w:rsidR="00000000" w:rsidDel="00000000" w:rsidP="00000000" w:rsidRDefault="00000000" w:rsidRPr="00000000" w14:paraId="0000007F">
            <w:pPr>
              <w:widowControl w:val="0"/>
              <w:spacing w:line="276" w:lineRule="auto"/>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Forward and strategic planning</w:t>
            </w:r>
          </w:p>
        </w:tc>
        <w:tc>
          <w:tcPr/>
          <w:p w:rsidR="00000000" w:rsidDel="00000000" w:rsidP="00000000" w:rsidRDefault="00000000" w:rsidRPr="00000000" w14:paraId="00000081">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tab/>
            </w:r>
          </w:p>
        </w:tc>
        <w:tc>
          <w:tcPr/>
          <w:p w:rsidR="00000000" w:rsidDel="00000000" w:rsidP="00000000" w:rsidRDefault="00000000" w:rsidRPr="00000000" w14:paraId="00000082">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tc>
      </w:tr>
      <w:tr>
        <w:tc>
          <w:tcPr>
            <w:vMerge w:val="continue"/>
          </w:tcPr>
          <w:p w:rsidR="00000000" w:rsidDel="00000000" w:rsidP="00000000" w:rsidRDefault="00000000" w:rsidRPr="00000000" w14:paraId="00000083">
            <w:pPr>
              <w:widowControl w:val="0"/>
              <w:spacing w:line="276" w:lineRule="auto"/>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4">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Budget (size and responsibilities)</w:t>
            </w:r>
          </w:p>
        </w:tc>
        <w:tc>
          <w:tcPr/>
          <w:p w:rsidR="00000000" w:rsidDel="00000000" w:rsidP="00000000" w:rsidRDefault="00000000" w:rsidRPr="00000000" w14:paraId="00000085">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tab/>
            </w:r>
          </w:p>
          <w:p w:rsidR="00000000" w:rsidDel="00000000" w:rsidP="00000000" w:rsidRDefault="00000000" w:rsidRPr="00000000" w14:paraId="00000086">
            <w:pPr>
              <w:ind w:left="720" w:firstLine="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7">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tc>
      </w:tr>
      <w:tr>
        <w:tc>
          <w:tcPr>
            <w:vMerge w:val="continue"/>
          </w:tcPr>
          <w:p w:rsidR="00000000" w:rsidDel="00000000" w:rsidP="00000000" w:rsidRDefault="00000000" w:rsidRPr="00000000" w14:paraId="00000088">
            <w:pPr>
              <w:widowControl w:val="0"/>
              <w:spacing w:line="276" w:lineRule="auto"/>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9">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Abilities</w:t>
            </w:r>
          </w:p>
        </w:tc>
        <w:tc>
          <w:tcPr/>
          <w:p w:rsidR="00000000" w:rsidDel="00000000" w:rsidP="00000000" w:rsidRDefault="00000000" w:rsidRPr="00000000" w14:paraId="0000008A">
            <w:pPr>
              <w:widowControl w:val="0"/>
              <w:numPr>
                <w:ilvl w:val="0"/>
                <w:numId w:val="4"/>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highlight w:val="white"/>
                <w:rtl w:val="0"/>
              </w:rPr>
              <w:t xml:space="preserve">Have excellent communication, interpersonal and organisational skills</w:t>
            </w:r>
          </w:p>
          <w:p w:rsidR="00000000" w:rsidDel="00000000" w:rsidP="00000000" w:rsidRDefault="00000000" w:rsidRPr="00000000" w14:paraId="0000008B">
            <w:pPr>
              <w:widowControl w:val="0"/>
              <w:numPr>
                <w:ilvl w:val="0"/>
                <w:numId w:val="4"/>
              </w:numPr>
              <w:spacing w:line="276" w:lineRule="auto"/>
              <w:ind w:left="720" w:hanging="360"/>
              <w:rPr>
                <w:rFonts w:ascii="PT Sans" w:cs="PT Sans" w:eastAsia="PT Sans" w:hAnsi="PT Sans"/>
                <w:sz w:val="22"/>
                <w:szCs w:val="22"/>
                <w:highlight w:val="white"/>
              </w:rPr>
            </w:pPr>
            <w:r w:rsidDel="00000000" w:rsidR="00000000" w:rsidRPr="00000000">
              <w:rPr>
                <w:rFonts w:ascii="PT Sans" w:cs="PT Sans" w:eastAsia="PT Sans" w:hAnsi="PT Sans"/>
                <w:sz w:val="22"/>
                <w:szCs w:val="22"/>
                <w:highlight w:val="white"/>
                <w:rtl w:val="0"/>
              </w:rPr>
              <w:t xml:space="preserve">Be confident in dealing with some sensitive challenges and work closely with the children and their families accordingly.</w:t>
            </w:r>
          </w:p>
          <w:p w:rsidR="00000000" w:rsidDel="00000000" w:rsidP="00000000" w:rsidRDefault="00000000" w:rsidRPr="00000000" w14:paraId="0000008C">
            <w:pPr>
              <w:widowControl w:val="0"/>
              <w:numPr>
                <w:ilvl w:val="0"/>
                <w:numId w:val="4"/>
              </w:numPr>
              <w:spacing w:line="276" w:lineRule="auto"/>
              <w:ind w:left="720" w:hanging="360"/>
              <w:rPr>
                <w:rFonts w:ascii="PT Sans" w:cs="PT Sans" w:eastAsia="PT Sans" w:hAnsi="PT Sans"/>
                <w:sz w:val="22"/>
                <w:szCs w:val="22"/>
                <w:highlight w:val="white"/>
              </w:rPr>
            </w:pPr>
            <w:r w:rsidDel="00000000" w:rsidR="00000000" w:rsidRPr="00000000">
              <w:rPr>
                <w:rFonts w:ascii="PT Sans" w:cs="PT Sans" w:eastAsia="PT Sans" w:hAnsi="PT Sans"/>
                <w:sz w:val="22"/>
                <w:szCs w:val="22"/>
                <w:highlight w:val="white"/>
                <w:rtl w:val="0"/>
              </w:rPr>
              <w:t xml:space="preserve">Be emotionally intelligent and open to trying new ideas and approaches.</w:t>
            </w:r>
          </w:p>
          <w:p w:rsidR="00000000" w:rsidDel="00000000" w:rsidP="00000000" w:rsidRDefault="00000000" w:rsidRPr="00000000" w14:paraId="0000008D">
            <w:pPr>
              <w:widowControl w:val="0"/>
              <w:numPr>
                <w:ilvl w:val="0"/>
                <w:numId w:val="4"/>
              </w:numPr>
              <w:spacing w:line="276" w:lineRule="auto"/>
              <w:ind w:left="720" w:hanging="360"/>
              <w:rPr>
                <w:rFonts w:ascii="PT Sans" w:cs="PT Sans" w:eastAsia="PT Sans" w:hAnsi="PT Sans"/>
                <w:sz w:val="22"/>
                <w:szCs w:val="22"/>
                <w:highlight w:val="white"/>
              </w:rPr>
            </w:pPr>
            <w:r w:rsidDel="00000000" w:rsidR="00000000" w:rsidRPr="00000000">
              <w:rPr>
                <w:rFonts w:ascii="PT Sans" w:cs="PT Sans" w:eastAsia="PT Sans" w:hAnsi="PT Sans"/>
                <w:sz w:val="22"/>
                <w:szCs w:val="22"/>
                <w:highlight w:val="white"/>
                <w:rtl w:val="0"/>
              </w:rPr>
              <w:t xml:space="preserve">Be a strong team member who will work in partnership with staff, governors, parents and the wider community.</w:t>
            </w:r>
          </w:p>
          <w:p w:rsidR="00000000" w:rsidDel="00000000" w:rsidP="00000000" w:rsidRDefault="00000000" w:rsidRPr="00000000" w14:paraId="0000008E">
            <w:pPr>
              <w:widowControl w:val="0"/>
              <w:numPr>
                <w:ilvl w:val="0"/>
                <w:numId w:val="4"/>
              </w:numPr>
              <w:spacing w:line="276" w:lineRule="auto"/>
              <w:ind w:left="720" w:hanging="360"/>
              <w:rPr>
                <w:rFonts w:ascii="PT Sans" w:cs="PT Sans" w:eastAsia="PT Sans" w:hAnsi="PT Sans"/>
                <w:sz w:val="22"/>
                <w:szCs w:val="22"/>
                <w:highlight w:val="white"/>
              </w:rPr>
            </w:pPr>
            <w:r w:rsidDel="00000000" w:rsidR="00000000" w:rsidRPr="00000000">
              <w:rPr>
                <w:rFonts w:ascii="PT Sans" w:cs="PT Sans" w:eastAsia="PT Sans" w:hAnsi="PT Sans"/>
                <w:sz w:val="22"/>
                <w:szCs w:val="22"/>
                <w:highlight w:val="white"/>
                <w:rtl w:val="0"/>
              </w:rPr>
              <w:t xml:space="preserve">Be reflective and take responsibility for your own personal and professional development.</w:t>
            </w:r>
          </w:p>
          <w:p w:rsidR="00000000" w:rsidDel="00000000" w:rsidP="00000000" w:rsidRDefault="00000000" w:rsidRPr="00000000" w14:paraId="0000008F">
            <w:pPr>
              <w:widowControl w:val="0"/>
              <w:numPr>
                <w:ilvl w:val="0"/>
                <w:numId w:val="4"/>
              </w:numPr>
              <w:spacing w:line="276" w:lineRule="auto"/>
              <w:ind w:left="720" w:hanging="360"/>
              <w:rPr>
                <w:rFonts w:ascii="PT Sans" w:cs="PT Sans" w:eastAsia="PT Sans" w:hAnsi="PT Sans"/>
                <w:sz w:val="22"/>
                <w:szCs w:val="22"/>
                <w:highlight w:val="white"/>
              </w:rPr>
            </w:pPr>
            <w:r w:rsidDel="00000000" w:rsidR="00000000" w:rsidRPr="00000000">
              <w:rPr>
                <w:rFonts w:ascii="PT Sans" w:cs="PT Sans" w:eastAsia="PT Sans" w:hAnsi="PT Sans"/>
                <w:sz w:val="22"/>
                <w:szCs w:val="22"/>
                <w:highlight w:val="white"/>
                <w:rtl w:val="0"/>
              </w:rPr>
              <w:t xml:space="preserve">Be an excellent networker who keeps abreast of evolving opportunities, policies and changes in the education and business landscape.</w:t>
            </w:r>
          </w:p>
          <w:p w:rsidR="00000000" w:rsidDel="00000000" w:rsidP="00000000" w:rsidRDefault="00000000" w:rsidRPr="00000000" w14:paraId="00000090">
            <w:pPr>
              <w:widowControl w:val="0"/>
              <w:numPr>
                <w:ilvl w:val="0"/>
                <w:numId w:val="4"/>
              </w:numPr>
              <w:spacing w:line="276" w:lineRule="auto"/>
              <w:ind w:left="720" w:hanging="360"/>
              <w:rPr>
                <w:rFonts w:ascii="PT Sans" w:cs="PT Sans" w:eastAsia="PT Sans" w:hAnsi="PT Sans"/>
                <w:sz w:val="22"/>
                <w:szCs w:val="22"/>
                <w:highlight w:val="white"/>
              </w:rPr>
            </w:pPr>
            <w:r w:rsidDel="00000000" w:rsidR="00000000" w:rsidRPr="00000000">
              <w:rPr>
                <w:rFonts w:ascii="PT Sans" w:cs="PT Sans" w:eastAsia="PT Sans" w:hAnsi="PT Sans"/>
                <w:sz w:val="22"/>
                <w:szCs w:val="22"/>
                <w:highlight w:val="white"/>
                <w:rtl w:val="0"/>
              </w:rPr>
              <w:t xml:space="preserve">Be able to form productive professional relationships</w:t>
            </w:r>
          </w:p>
        </w:tc>
        <w:tc>
          <w:tcPr/>
          <w:p w:rsidR="00000000" w:rsidDel="00000000" w:rsidP="00000000" w:rsidRDefault="00000000" w:rsidRPr="00000000" w14:paraId="00000091">
            <w:pPr>
              <w:numPr>
                <w:ilvl w:val="0"/>
                <w:numId w:val="11"/>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n/a</w:t>
            </w:r>
          </w:p>
        </w:tc>
      </w:tr>
      <w:tr>
        <w:trPr>
          <w:trHeight w:val="200" w:hRule="atLeast"/>
        </w:trPr>
        <w:tc>
          <w:tcPr>
            <w:vMerge w:val="restart"/>
          </w:tcPr>
          <w:p w:rsidR="00000000" w:rsidDel="00000000" w:rsidP="00000000" w:rsidRDefault="00000000" w:rsidRPr="00000000" w14:paraId="00000092">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Characteristics</w:t>
            </w:r>
            <w:r w:rsidDel="00000000" w:rsidR="00000000" w:rsidRPr="00000000">
              <w:rPr>
                <w:rtl w:val="0"/>
              </w:rPr>
            </w:r>
          </w:p>
        </w:tc>
        <w:tc>
          <w:tcPr/>
          <w:p w:rsidR="00000000" w:rsidDel="00000000" w:rsidP="00000000" w:rsidRDefault="00000000" w:rsidRPr="00000000" w14:paraId="00000093">
            <w:pPr>
              <w:rPr>
                <w:rFonts w:ascii="PT Sans" w:cs="PT Sans" w:eastAsia="PT Sans" w:hAnsi="PT Sans"/>
                <w:sz w:val="22"/>
                <w:szCs w:val="22"/>
              </w:rPr>
            </w:pPr>
            <w:bookmarkStart w:colFirst="0" w:colLast="0" w:name="_gjdgxs" w:id="0"/>
            <w:bookmarkEnd w:id="0"/>
            <w:r w:rsidDel="00000000" w:rsidR="00000000" w:rsidRPr="00000000">
              <w:rPr>
                <w:rFonts w:ascii="PT Sans" w:cs="PT Sans" w:eastAsia="PT Sans" w:hAnsi="PT Sans"/>
                <w:sz w:val="22"/>
                <w:szCs w:val="22"/>
                <w:rtl w:val="0"/>
              </w:rPr>
              <w:t xml:space="preserve">Behaviours</w:t>
            </w:r>
          </w:p>
        </w:tc>
        <w:tc>
          <w:tcPr/>
          <w:p w:rsidR="00000000" w:rsidDel="00000000" w:rsidP="00000000" w:rsidRDefault="00000000" w:rsidRPr="00000000" w14:paraId="00000094">
            <w:pPr>
              <w:widowControl w:val="0"/>
              <w:numPr>
                <w:ilvl w:val="0"/>
                <w:numId w:val="4"/>
              </w:numPr>
              <w:spacing w:line="276" w:lineRule="auto"/>
              <w:ind w:left="720" w:hanging="360"/>
              <w:rPr>
                <w:rFonts w:ascii="PT Sans" w:cs="PT Sans" w:eastAsia="PT Sans" w:hAnsi="PT Sans"/>
                <w:sz w:val="22"/>
                <w:szCs w:val="22"/>
                <w:highlight w:val="white"/>
              </w:rPr>
            </w:pPr>
            <w:r w:rsidDel="00000000" w:rsidR="00000000" w:rsidRPr="00000000">
              <w:rPr>
                <w:rFonts w:ascii="PT Sans" w:cs="PT Sans" w:eastAsia="PT Sans" w:hAnsi="PT Sans"/>
                <w:sz w:val="22"/>
                <w:szCs w:val="22"/>
                <w:highlight w:val="white"/>
                <w:rtl w:val="0"/>
              </w:rPr>
              <w:t xml:space="preserve">Bring drive, determination and a commitment to raising standards</w:t>
            </w:r>
          </w:p>
          <w:p w:rsidR="00000000" w:rsidDel="00000000" w:rsidP="00000000" w:rsidRDefault="00000000" w:rsidRPr="00000000" w14:paraId="00000095">
            <w:pPr>
              <w:widowControl w:val="0"/>
              <w:numPr>
                <w:ilvl w:val="0"/>
                <w:numId w:val="4"/>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highlight w:val="white"/>
                <w:rtl w:val="0"/>
              </w:rPr>
              <w:t xml:space="preserve">Believe in inclusion and achievement for all students</w:t>
            </w:r>
          </w:p>
          <w:p w:rsidR="00000000" w:rsidDel="00000000" w:rsidP="00000000" w:rsidRDefault="00000000" w:rsidRPr="00000000" w14:paraId="00000096">
            <w:pPr>
              <w:widowControl w:val="0"/>
              <w:numPr>
                <w:ilvl w:val="0"/>
                <w:numId w:val="4"/>
              </w:numPr>
              <w:spacing w:line="276" w:lineRule="auto"/>
              <w:ind w:left="720" w:hanging="360"/>
              <w:rPr>
                <w:rFonts w:ascii="PT Sans" w:cs="PT Sans" w:eastAsia="PT Sans" w:hAnsi="PT Sans"/>
                <w:sz w:val="22"/>
                <w:szCs w:val="22"/>
                <w:highlight w:val="white"/>
              </w:rPr>
            </w:pPr>
            <w:r w:rsidDel="00000000" w:rsidR="00000000" w:rsidRPr="00000000">
              <w:rPr>
                <w:rFonts w:ascii="PT Sans" w:cs="PT Sans" w:eastAsia="PT Sans" w:hAnsi="PT Sans"/>
                <w:sz w:val="22"/>
                <w:szCs w:val="22"/>
                <w:highlight w:val="white"/>
                <w:rtl w:val="0"/>
              </w:rPr>
              <w:t xml:space="preserve">Want the very best for our students and to draw out the very best in them</w:t>
            </w:r>
          </w:p>
          <w:p w:rsidR="00000000" w:rsidDel="00000000" w:rsidP="00000000" w:rsidRDefault="00000000" w:rsidRPr="00000000" w14:paraId="00000097">
            <w:pPr>
              <w:widowControl w:val="0"/>
              <w:numPr>
                <w:ilvl w:val="0"/>
                <w:numId w:val="4"/>
              </w:numPr>
              <w:spacing w:line="276" w:lineRule="auto"/>
              <w:ind w:left="720" w:hanging="360"/>
              <w:rPr>
                <w:rFonts w:ascii="PT Sans" w:cs="PT Sans" w:eastAsia="PT Sans" w:hAnsi="PT Sans"/>
                <w:sz w:val="22"/>
                <w:szCs w:val="22"/>
                <w:highlight w:val="white"/>
              </w:rPr>
            </w:pPr>
            <w:r w:rsidDel="00000000" w:rsidR="00000000" w:rsidRPr="00000000">
              <w:rPr>
                <w:rFonts w:ascii="PT Sans" w:cs="PT Sans" w:eastAsia="PT Sans" w:hAnsi="PT Sans"/>
                <w:sz w:val="22"/>
                <w:szCs w:val="22"/>
                <w:highlight w:val="white"/>
                <w:rtl w:val="0"/>
              </w:rPr>
              <w:t xml:space="preserve">Have a passion for learning and high expectations of students achievement and behaviour</w:t>
            </w:r>
          </w:p>
          <w:p w:rsidR="00000000" w:rsidDel="00000000" w:rsidP="00000000" w:rsidRDefault="00000000" w:rsidRPr="00000000" w14:paraId="00000098">
            <w:pPr>
              <w:widowControl w:val="0"/>
              <w:numPr>
                <w:ilvl w:val="0"/>
                <w:numId w:val="4"/>
              </w:numPr>
              <w:spacing w:line="276" w:lineRule="auto"/>
              <w:ind w:left="720" w:hanging="360"/>
              <w:rPr>
                <w:rFonts w:ascii="PT Sans" w:cs="PT Sans" w:eastAsia="PT Sans" w:hAnsi="PT Sans"/>
                <w:sz w:val="22"/>
                <w:szCs w:val="22"/>
                <w:highlight w:val="white"/>
              </w:rPr>
            </w:pPr>
            <w:r w:rsidDel="00000000" w:rsidR="00000000" w:rsidRPr="00000000">
              <w:rPr>
                <w:rFonts w:ascii="PT Sans" w:cs="PT Sans" w:eastAsia="PT Sans" w:hAnsi="PT Sans"/>
                <w:sz w:val="22"/>
                <w:szCs w:val="22"/>
                <w:highlight w:val="white"/>
                <w:rtl w:val="0"/>
              </w:rPr>
              <w:t xml:space="preserve">Be tenacious in pursuing the right outcomes and opportunities for our pupils, guiding them and removing the obstacles that stand in the way of their passions and ambitions</w:t>
            </w:r>
          </w:p>
        </w:tc>
        <w:tc>
          <w:tcPr/>
          <w:p w:rsidR="00000000" w:rsidDel="00000000" w:rsidP="00000000" w:rsidRDefault="00000000" w:rsidRPr="00000000" w14:paraId="00000099">
            <w:pPr>
              <w:numPr>
                <w:ilvl w:val="0"/>
                <w:numId w:val="12"/>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n/a</w:t>
            </w:r>
          </w:p>
        </w:tc>
      </w:tr>
      <w:tr>
        <w:trPr>
          <w:trHeight w:val="200" w:hRule="atLeast"/>
        </w:trPr>
        <w:tc>
          <w:tcPr>
            <w:vMerge w:val="continue"/>
          </w:tcPr>
          <w:p w:rsidR="00000000" w:rsidDel="00000000" w:rsidP="00000000" w:rsidRDefault="00000000" w:rsidRPr="00000000" w14:paraId="0000009A">
            <w:pPr>
              <w:rPr>
                <w:rFonts w:ascii="PT Sans" w:cs="PT Sans" w:eastAsia="PT Sans" w:hAnsi="PT Sans"/>
                <w:b w:val="1"/>
                <w:sz w:val="22"/>
                <w:szCs w:val="22"/>
                <w:highlight w:val="yellow"/>
              </w:rPr>
            </w:pPr>
            <w:r w:rsidDel="00000000" w:rsidR="00000000" w:rsidRPr="00000000">
              <w:rPr>
                <w:rtl w:val="0"/>
              </w:rPr>
            </w:r>
          </w:p>
        </w:tc>
        <w:tc>
          <w:tcPr/>
          <w:p w:rsidR="00000000" w:rsidDel="00000000" w:rsidP="00000000" w:rsidRDefault="00000000" w:rsidRPr="00000000" w14:paraId="0000009B">
            <w:pPr>
              <w:rPr>
                <w:rFonts w:ascii="PT Sans" w:cs="PT Sans" w:eastAsia="PT Sans" w:hAnsi="PT Sans"/>
                <w:sz w:val="22"/>
                <w:szCs w:val="22"/>
              </w:rPr>
            </w:pPr>
            <w:bookmarkStart w:colFirst="0" w:colLast="0" w:name="_gjdgxs" w:id="0"/>
            <w:bookmarkEnd w:id="0"/>
            <w:r w:rsidDel="00000000" w:rsidR="00000000" w:rsidRPr="00000000">
              <w:rPr>
                <w:rFonts w:ascii="PT Sans" w:cs="PT Sans" w:eastAsia="PT Sans" w:hAnsi="PT Sans"/>
                <w:sz w:val="22"/>
                <w:szCs w:val="22"/>
                <w:rtl w:val="0"/>
              </w:rPr>
              <w:t xml:space="preserve">Values </w:t>
            </w:r>
          </w:p>
        </w:tc>
        <w:tc>
          <w:tcPr/>
          <w:p w:rsidR="00000000" w:rsidDel="00000000" w:rsidP="00000000" w:rsidRDefault="00000000" w:rsidRPr="00000000" w14:paraId="0000009C">
            <w:pPr>
              <w:numPr>
                <w:ilvl w:val="0"/>
                <w:numId w:val="7"/>
              </w:numPr>
              <w:ind w:left="720" w:hanging="360"/>
              <w:rPr>
                <w:rFonts w:ascii="PT Sans" w:cs="PT Sans" w:eastAsia="PT Sans" w:hAnsi="PT Sans"/>
                <w:sz w:val="22"/>
                <w:szCs w:val="22"/>
              </w:rPr>
            </w:pPr>
            <w:bookmarkStart w:colFirst="0" w:colLast="0" w:name="_gjdgxs" w:id="0"/>
            <w:bookmarkEnd w:id="0"/>
            <w:r w:rsidDel="00000000" w:rsidR="00000000" w:rsidRPr="00000000">
              <w:rPr>
                <w:rFonts w:ascii="PT Sans" w:cs="PT Sans" w:eastAsia="PT Sans" w:hAnsi="PT Sans"/>
                <w:sz w:val="22"/>
                <w:szCs w:val="22"/>
                <w:rtl w:val="0"/>
              </w:rPr>
              <w:t xml:space="preserve">Ability to demonstrate, understand and apply our values</w:t>
            </w:r>
          </w:p>
          <w:p w:rsidR="00000000" w:rsidDel="00000000" w:rsidP="00000000" w:rsidRDefault="00000000" w:rsidRPr="00000000" w14:paraId="0000009D">
            <w:pPr>
              <w:numPr>
                <w:ilvl w:val="1"/>
                <w:numId w:val="7"/>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9E">
            <w:pPr>
              <w:numPr>
                <w:ilvl w:val="1"/>
                <w:numId w:val="7"/>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9F">
            <w:pPr>
              <w:numPr>
                <w:ilvl w:val="1"/>
                <w:numId w:val="7"/>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A0">
            <w:pPr>
              <w:numPr>
                <w:ilvl w:val="1"/>
                <w:numId w:val="7"/>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tc>
        <w:tc>
          <w:tcPr/>
          <w:p w:rsidR="00000000" w:rsidDel="00000000" w:rsidP="00000000" w:rsidRDefault="00000000" w:rsidRPr="00000000" w14:paraId="000000A1">
            <w:pPr>
              <w:numPr>
                <w:ilvl w:val="0"/>
                <w:numId w:val="2"/>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n/a</w:t>
            </w:r>
          </w:p>
        </w:tc>
      </w:tr>
      <w:tr>
        <w:tc>
          <w:tcPr/>
          <w:p w:rsidR="00000000" w:rsidDel="00000000" w:rsidP="00000000" w:rsidRDefault="00000000" w:rsidRPr="00000000" w14:paraId="000000A2">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r w:rsidDel="00000000" w:rsidR="00000000" w:rsidRPr="00000000">
              <w:rPr>
                <w:rtl w:val="0"/>
              </w:rPr>
            </w:r>
          </w:p>
        </w:tc>
        <w:tc>
          <w:tcPr/>
          <w:p w:rsidR="00000000" w:rsidDel="00000000" w:rsidP="00000000" w:rsidRDefault="00000000" w:rsidRPr="00000000" w14:paraId="000000A3">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4">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0A5">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0A6">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0A7">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tc>
      </w:tr>
    </w:tbl>
    <w:p w:rsidR="00000000" w:rsidDel="00000000" w:rsidP="00000000" w:rsidRDefault="00000000" w:rsidRPr="00000000" w14:paraId="000000A8">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9">
      <w:pPr>
        <w:ind w:left="566.9291338582677" w:right="568.3464566929138" w:firstLine="0"/>
        <w:rPr>
          <w:rFonts w:ascii="PT Sans" w:cs="PT Sans" w:eastAsia="PT Sans" w:hAnsi="PT Sans"/>
          <w:color w:val="ff0000"/>
          <w:sz w:val="22"/>
          <w:szCs w:val="22"/>
        </w:rPr>
      </w:pPr>
      <w:r w:rsidDel="00000000" w:rsidR="00000000" w:rsidRPr="00000000">
        <w:rPr>
          <w:rtl w:val="0"/>
        </w:rPr>
      </w:r>
    </w:p>
    <w:sectPr>
      <w:headerReference r:id="rId6" w:type="default"/>
      <w:footerReference r:id="rId7" w:type="default"/>
      <w:pgSz w:h="16838" w:w="11906" w:orient="portrait"/>
      <w:pgMar w:bottom="425.1968503937008" w:top="566.9291338582677" w:left="425.19685039370086" w:right="286.41732283464705" w:header="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ind w:left="-141.73228346456693" w:hanging="141.73228346456693"/>
      <w:rPr/>
    </w:pPr>
    <w:r w:rsidDel="00000000" w:rsidR="00000000" w:rsidRPr="00000000">
      <w:rPr/>
      <mc:AlternateContent>
        <mc:Choice Requires="wpg">
          <w:drawing>
            <wp:inline distB="114300" distT="114300" distL="114300" distR="114300">
              <wp:extent cx="7320938" cy="681852"/>
              <wp:effectExtent b="0" l="0" r="0" t="0"/>
              <wp:docPr id="1" name=""/>
              <a:graphic>
                <a:graphicData uri="http://schemas.microsoft.com/office/word/2010/wordprocessingGroup">
                  <wpg:wgp>
                    <wpg:cNvGrpSpPr/>
                    <wpg:grpSpPr>
                      <a:xfrm>
                        <a:off x="0" y="204550"/>
                        <a:ext cx="7320938" cy="681852"/>
                        <a:chOff x="0" y="204550"/>
                        <a:chExt cx="9701700" cy="828000"/>
                      </a:xfrm>
                    </wpg:grpSpPr>
                    <wps:wsp>
                      <wps:cNvSpPr/>
                      <wps:cNvPr id="2" name="Shape 2"/>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pic:pic>
                      <pic:nvPicPr>
                        <pic:cNvPr descr="AET logo remarkable reversed.png" id="4" name="Shape 4"/>
                        <pic:cNvPicPr preferRelativeResize="0"/>
                      </pic:nvPicPr>
                      <pic:blipFill>
                        <a:blip r:embed="rId1">
                          <a:alphaModFix/>
                        </a:blip>
                        <a:stretch>
                          <a:fillRect/>
                        </a:stretch>
                      </pic:blipFill>
                      <pic:spPr>
                        <a:xfrm>
                          <a:off x="96450" y="311650"/>
                          <a:ext cx="2299471" cy="613800"/>
                        </a:xfrm>
                        <a:prstGeom prst="rect">
                          <a:avLst/>
                        </a:prstGeom>
                        <a:noFill/>
                        <a:ln>
                          <a:noFill/>
                        </a:ln>
                      </pic:spPr>
                    </pic:pic>
                  </wpg:wgp>
                </a:graphicData>
              </a:graphic>
            </wp:inline>
          </w:drawing>
        </mc:Choice>
        <mc:Fallback>
          <w:drawing>
            <wp:inline distB="114300" distT="114300" distL="114300" distR="114300">
              <wp:extent cx="7320938" cy="681852"/>
              <wp:effectExtent b="0" l="0" r="0" t="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20938" cy="681852"/>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ind w:left="992.1259842519685" w:right="0" w:firstLine="0"/>
      <w:rPr>
        <w:rFonts w:ascii="PT Sans" w:cs="PT Sans" w:eastAsia="PT Sans" w:hAnsi="PT Sans"/>
        <w:sz w:val="8"/>
        <w:szCs w:val="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-102112</wp:posOffset>
              </wp:positionH>
              <wp:positionV relativeFrom="paragraph">
                <wp:posOffset>133350</wp:posOffset>
              </wp:positionV>
              <wp:extent cx="7311418" cy="650868"/>
              <wp:effectExtent b="0" l="0" r="0" t="0"/>
              <wp:wrapTopAndBottom distB="114300" distT="114300"/>
              <wp:docPr id="2" name=""/>
              <a:graphic>
                <a:graphicData uri="http://schemas.microsoft.com/office/word/2010/wordprocessingGroup">
                  <wpg:wgp>
                    <wpg:cNvGrpSpPr/>
                    <wpg:grpSpPr>
                      <a:xfrm>
                        <a:off x="0" y="0"/>
                        <a:ext cx="7311418" cy="650868"/>
                        <a:chOff x="0" y="0"/>
                        <a:chExt cx="9623804" cy="847642"/>
                      </a:xfrm>
                    </wpg:grpSpPr>
                    <wps:wsp>
                      <wps:cNvSpPr/>
                      <wps:cNvPr id="5" name="Shape 5"/>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28"/>
                                <w:vertAlign w:val="baseline"/>
                              </w:rPr>
                              <w:t xml:space="preserve">Inspire their remarkable</w:t>
                            </w:r>
                          </w:p>
                        </w:txbxContent>
                      </wps:txbx>
                      <wps:bodyPr anchorCtr="0" anchor="t" bIns="91425" lIns="91425" spcFirstLastPara="1" rIns="91425" wrap="square" tIns="91425">
                        <a:noAutofit/>
                      </wps:bodyPr>
                    </wps:wsp>
                    <pic:pic>
                      <pic:nvPicPr>
                        <pic:cNvPr descr="AET logo remarkable reversed.png" id="9" name="Shape 9"/>
                        <pic:cNvPicPr preferRelativeResize="0"/>
                      </pic:nvPicPr>
                      <pic:blipFill>
                        <a:blip r:embed="rId1">
                          <a:alphaModFix/>
                        </a:blip>
                        <a:stretch>
                          <a:fillRect/>
                        </a:stretch>
                      </pic:blipFill>
                      <pic:spPr>
                        <a:xfrm>
                          <a:off x="68475" y="48337"/>
                          <a:ext cx="2812851" cy="750825"/>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-102112</wp:posOffset>
              </wp:positionH>
              <wp:positionV relativeFrom="paragraph">
                <wp:posOffset>133350</wp:posOffset>
              </wp:positionV>
              <wp:extent cx="7311418" cy="650868"/>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311418" cy="65086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