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7FFF7"/>
        <w:tblLook w:val="04A0" w:firstRow="1" w:lastRow="0" w:firstColumn="1" w:lastColumn="0" w:noHBand="0" w:noVBand="1"/>
      </w:tblPr>
      <w:tblGrid>
        <w:gridCol w:w="2268"/>
        <w:gridCol w:w="7230"/>
      </w:tblGrid>
      <w:tr w:rsidR="007C05D5" w:rsidRPr="00720E8B" w14:paraId="205D2EE0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4D2911" w14:textId="77777777" w:rsidR="007C05D5" w:rsidRPr="002E419F" w:rsidRDefault="007C05D5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sz w:val="22"/>
                <w:szCs w:val="22"/>
              </w:rPr>
              <w:t xml:space="preserve">Job </w:t>
            </w:r>
            <w:r w:rsidR="00D501A0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sz w:val="22"/>
                <w:szCs w:val="22"/>
              </w:rPr>
              <w:t>itle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0F91110" w14:textId="77777777" w:rsidR="007C05D5" w:rsidRPr="002E419F" w:rsidRDefault="00FC057D" w:rsidP="007C05D5">
            <w:pPr>
              <w:rPr>
                <w:rFonts w:ascii="Calibri" w:hAnsi="Calibri" w:cs="Calibri"/>
                <w:sz w:val="22"/>
                <w:szCs w:val="22"/>
              </w:rPr>
            </w:pPr>
            <w:r w:rsidRPr="004A532C">
              <w:rPr>
                <w:rFonts w:ascii="Calibri" w:hAnsi="Calibri" w:cs="Calibri"/>
                <w:sz w:val="22"/>
                <w:szCs w:val="22"/>
              </w:rPr>
              <w:t>Progress Tutor</w:t>
            </w:r>
          </w:p>
        </w:tc>
      </w:tr>
      <w:tr w:rsidR="007C05D5" w:rsidRPr="00720E8B" w14:paraId="370652B9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97B7AB" w14:textId="77777777" w:rsidR="007C05D5" w:rsidRPr="002E419F" w:rsidRDefault="007C05D5" w:rsidP="007C05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Team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6D99A70" w14:textId="77777777" w:rsidR="007C05D5" w:rsidRPr="002E419F" w:rsidRDefault="007C05D5" w:rsidP="005E64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 xml:space="preserve">The post holder will be a member of the </w:t>
            </w:r>
            <w:r w:rsidR="005E642B">
              <w:rPr>
                <w:rFonts w:ascii="Calibri" w:hAnsi="Calibri" w:cs="Calibri"/>
                <w:iCs/>
                <w:sz w:val="22"/>
                <w:szCs w:val="22"/>
              </w:rPr>
              <w:t xml:space="preserve">Aspire </w:t>
            </w:r>
            <w:r w:rsidRPr="002E419F">
              <w:rPr>
                <w:rFonts w:ascii="Calibri" w:hAnsi="Calibri" w:cs="Calibri"/>
                <w:iCs/>
                <w:sz w:val="22"/>
                <w:szCs w:val="22"/>
              </w:rPr>
              <w:t>team</w:t>
            </w:r>
          </w:p>
        </w:tc>
      </w:tr>
      <w:tr w:rsidR="00145E76" w:rsidRPr="00720E8B" w14:paraId="6D943072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CAF61D" w14:textId="77777777" w:rsidR="00145E76" w:rsidRPr="002E419F" w:rsidRDefault="00050723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Reports </w:t>
            </w:r>
            <w:r w:rsidR="00D501A0">
              <w:rPr>
                <w:rFonts w:ascii="Calibri" w:hAnsi="Calibri" w:cs="Calibri"/>
                <w:b/>
                <w:iCs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35D86AA8" w14:textId="77777777" w:rsidR="00145E76" w:rsidRPr="002E419F" w:rsidRDefault="005E642B" w:rsidP="00FC057D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="00FC057D">
              <w:rPr>
                <w:rFonts w:ascii="Calibri" w:hAnsi="Calibri" w:cs="Calibri"/>
                <w:iCs/>
                <w:sz w:val="22"/>
                <w:szCs w:val="22"/>
              </w:rPr>
              <w:t>enior Progress Tutor</w:t>
            </w:r>
          </w:p>
        </w:tc>
      </w:tr>
      <w:tr w:rsidR="00D53D6F" w:rsidRPr="00720E8B" w14:paraId="6B62ED1A" w14:textId="77777777" w:rsidTr="00195FBF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9CAFE2" w14:textId="77777777" w:rsidR="00D53D6F" w:rsidRPr="002E419F" w:rsidRDefault="00D53D6F" w:rsidP="00D55416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Remuneration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6389E1D" w14:textId="77777777" w:rsidR="00D53D6F" w:rsidRPr="002E419F" w:rsidRDefault="008A0F4F" w:rsidP="006527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Band </w:t>
            </w:r>
            <w:r w:rsidR="00FC057D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ange </w:t>
            </w:r>
            <w:r w:rsidR="00FC057D">
              <w:rPr>
                <w:rFonts w:ascii="Calibri" w:hAnsi="Calibri" w:cs="Calibri"/>
                <w:sz w:val="22"/>
                <w:szCs w:val="22"/>
              </w:rPr>
              <w:t>15-17</w:t>
            </w:r>
            <w:r w:rsidR="00D53D6F" w:rsidRPr="7C93CBA1">
              <w:rPr>
                <w:rFonts w:ascii="Calibri" w:hAnsi="Calibri" w:cs="Calibri"/>
                <w:sz w:val="22"/>
                <w:szCs w:val="22"/>
              </w:rPr>
              <w:t xml:space="preserve"> of the NJC </w:t>
            </w:r>
            <w:r w:rsidR="00D53D6F" w:rsidRPr="00FC057D">
              <w:rPr>
                <w:rFonts w:ascii="Calibri" w:hAnsi="Calibri" w:cs="Calibri"/>
                <w:sz w:val="22"/>
                <w:szCs w:val="22"/>
              </w:rPr>
              <w:t>pay spine for Support Staff</w:t>
            </w:r>
            <w:r w:rsidR="00FC057D" w:rsidRPr="00FC057D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7C93CBA1" w:rsidRPr="00FC057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 rata to reflect reduced working arrangements)</w:t>
            </w:r>
            <w:r w:rsidR="7C93CBA1" w:rsidRPr="7C93CBA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501A0" w:rsidRPr="00720E8B" w14:paraId="4A8C8206" w14:textId="77777777" w:rsidTr="00195FBF">
        <w:trPr>
          <w:trHeight w:val="46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FF2BEA" w14:textId="77777777" w:rsidR="00D501A0" w:rsidRPr="002E419F" w:rsidRDefault="00D501A0" w:rsidP="00D501A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Terms and conditions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A1931A4" w14:textId="77777777" w:rsidR="00D501A0" w:rsidRPr="002E419F" w:rsidRDefault="00D501A0" w:rsidP="0046051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Operations staff</w:t>
            </w:r>
          </w:p>
        </w:tc>
      </w:tr>
    </w:tbl>
    <w:p w14:paraId="672A6659" w14:textId="77777777" w:rsidR="00FC35AD" w:rsidRDefault="00FC35AD" w:rsidP="00FC35AD"/>
    <w:p w14:paraId="662853FC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Overall focus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CA839B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Work collectively with all colleagues to support HNC’s Vision and Mission and to embody HNC’s values and behaviours.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7BEAA2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602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Duties and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22075" w14:textId="519CBE7D" w:rsidR="00D501A0" w:rsidRDefault="00D501A0" w:rsidP="6987E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987E78A">
        <w:rPr>
          <w:rStyle w:val="normaltextrun"/>
          <w:rFonts w:ascii="Calibri" w:hAnsi="Calibri" w:cs="Calibri"/>
          <w:sz w:val="22"/>
          <w:szCs w:val="22"/>
        </w:rPr>
        <w:t xml:space="preserve">Your duties and responsibilities are </w:t>
      </w:r>
      <w:r w:rsidR="0A35D0C0" w:rsidRPr="6987E78A">
        <w:rPr>
          <w:rStyle w:val="normaltextrun"/>
          <w:rFonts w:ascii="Calibri" w:hAnsi="Calibri" w:cs="Calibri"/>
          <w:sz w:val="22"/>
          <w:szCs w:val="22"/>
        </w:rPr>
        <w:t>detailed,</w:t>
      </w:r>
      <w:r w:rsidRPr="6987E78A">
        <w:rPr>
          <w:rStyle w:val="normaltextrun"/>
          <w:rFonts w:ascii="Calibri" w:hAnsi="Calibri" w:cs="Calibri"/>
          <w:sz w:val="22"/>
          <w:szCs w:val="22"/>
        </w:rPr>
        <w:t xml:space="preserve"> and you may also be required to undertake additional tasks, as may reasonably be expected and commensurate with the role, including evenings and Saturdays, in line with published calendar requirements.</w:t>
      </w:r>
      <w:r w:rsidRPr="6987E78A">
        <w:rPr>
          <w:rStyle w:val="eop"/>
          <w:rFonts w:ascii="Calibri" w:hAnsi="Calibri" w:cs="Calibri"/>
          <w:sz w:val="22"/>
          <w:szCs w:val="22"/>
        </w:rPr>
        <w:t> </w:t>
      </w:r>
    </w:p>
    <w:p w14:paraId="0A37501D" w14:textId="77777777" w:rsidR="00D501A0" w:rsidRPr="00D55416" w:rsidRDefault="00D501A0" w:rsidP="00D501A0">
      <w:pPr>
        <w:rPr>
          <w:rFonts w:asciiTheme="minorHAnsi" w:hAnsiTheme="minorHAnsi" w:cstheme="minorHAnsi"/>
          <w:iCs/>
          <w:sz w:val="22"/>
          <w:szCs w:val="22"/>
        </w:rPr>
      </w:pPr>
    </w:p>
    <w:p w14:paraId="43E6D751" w14:textId="77777777" w:rsidR="4CA7398F" w:rsidRDefault="4CA7398F" w:rsidP="6987E78A">
      <w:pPr>
        <w:rPr>
          <w:rFonts w:ascii="Calibri" w:hAnsi="Calibri" w:cs="Calibri"/>
          <w:b/>
          <w:bCs/>
          <w:sz w:val="22"/>
          <w:szCs w:val="22"/>
          <w:lang w:eastAsia="en-GB"/>
        </w:rPr>
      </w:pPr>
      <w:r w:rsidRPr="6987E78A">
        <w:rPr>
          <w:rFonts w:ascii="Calibri" w:hAnsi="Calibri" w:cs="Calibri"/>
          <w:b/>
          <w:bCs/>
          <w:sz w:val="22"/>
          <w:szCs w:val="22"/>
          <w:lang w:eastAsia="en-GB"/>
        </w:rPr>
        <w:t>Delivery of Aspire programme</w:t>
      </w:r>
    </w:p>
    <w:p w14:paraId="0E149A3C" w14:textId="77777777" w:rsidR="4CA7398F" w:rsidRDefault="4CA7398F" w:rsidP="6987E78A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6987E78A">
        <w:rPr>
          <w:rStyle w:val="normaltextrun"/>
          <w:rFonts w:ascii="Calibri" w:hAnsi="Calibri" w:cs="Calibri"/>
          <w:sz w:val="22"/>
          <w:szCs w:val="22"/>
        </w:rPr>
        <w:t>Deliver an agreed induction and Aspire programme, following guidance of Senior Progress Tutor team</w:t>
      </w:r>
    </w:p>
    <w:p w14:paraId="5954A806" w14:textId="22A681D8" w:rsidR="4CA7398F" w:rsidRDefault="4CA7398F" w:rsidP="6987E78A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18B27605">
        <w:rPr>
          <w:rStyle w:val="normaltextrun"/>
          <w:rFonts w:ascii="Calibri" w:hAnsi="Calibri" w:cs="Calibri"/>
          <w:sz w:val="22"/>
          <w:szCs w:val="22"/>
        </w:rPr>
        <w:t xml:space="preserve">Typically Aspire sessions are delivered twice per week </w:t>
      </w:r>
      <w:r w:rsidR="77B22BE9" w:rsidRPr="18B27605">
        <w:rPr>
          <w:rStyle w:val="normaltextrun"/>
          <w:rFonts w:ascii="Calibri" w:hAnsi="Calibri" w:cs="Calibri"/>
          <w:sz w:val="22"/>
          <w:szCs w:val="22"/>
        </w:rPr>
        <w:t>to each assigned Progress tutor group</w:t>
      </w:r>
    </w:p>
    <w:p w14:paraId="07C0FE87" w14:textId="613797DE" w:rsidR="6987E78A" w:rsidRDefault="6987E78A" w:rsidP="6987E78A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07D08FC6" w14:textId="77777777" w:rsidR="005E642B" w:rsidRDefault="005E642B" w:rsidP="005E642B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E642B">
        <w:rPr>
          <w:rFonts w:asciiTheme="minorHAnsi" w:hAnsiTheme="minorHAnsi" w:cstheme="minorHAnsi"/>
          <w:b/>
          <w:iCs/>
          <w:sz w:val="22"/>
          <w:szCs w:val="22"/>
        </w:rPr>
        <w:t xml:space="preserve">Student Monitoring </w:t>
      </w:r>
    </w:p>
    <w:p w14:paraId="2ACFBF34" w14:textId="2F2A9BAA" w:rsidR="005E642B" w:rsidRPr="00E30337" w:rsidRDefault="005E642B" w:rsidP="00B530BC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  <w:r w:rsidRPr="18B27605">
        <w:rPr>
          <w:rFonts w:asciiTheme="minorHAnsi" w:hAnsiTheme="minorHAnsi" w:cstheme="minorBidi"/>
          <w:sz w:val="22"/>
          <w:szCs w:val="22"/>
        </w:rPr>
        <w:t>Manage a caseload</w:t>
      </w:r>
      <w:r w:rsidR="64102600" w:rsidRPr="18B27605">
        <w:rPr>
          <w:rFonts w:asciiTheme="minorHAnsi" w:hAnsiTheme="minorHAnsi" w:cstheme="minorBidi"/>
          <w:sz w:val="22"/>
          <w:szCs w:val="22"/>
        </w:rPr>
        <w:t xml:space="preserve"> of</w:t>
      </w:r>
      <w:r w:rsidRPr="18B27605">
        <w:rPr>
          <w:rFonts w:asciiTheme="minorHAnsi" w:hAnsiTheme="minorHAnsi" w:cstheme="minorBidi"/>
          <w:sz w:val="22"/>
          <w:szCs w:val="22"/>
        </w:rPr>
        <w:t xml:space="preserve"> </w:t>
      </w:r>
      <w:r w:rsidR="2235D684" w:rsidRPr="18B27605">
        <w:rPr>
          <w:rFonts w:asciiTheme="minorHAnsi" w:hAnsiTheme="minorHAnsi" w:cstheme="minorBidi"/>
          <w:sz w:val="22"/>
          <w:szCs w:val="22"/>
        </w:rPr>
        <w:t>150-</w:t>
      </w:r>
      <w:r w:rsidRPr="18B27605">
        <w:rPr>
          <w:rFonts w:asciiTheme="minorHAnsi" w:hAnsiTheme="minorHAnsi" w:cstheme="minorBidi"/>
          <w:sz w:val="22"/>
          <w:szCs w:val="22"/>
        </w:rPr>
        <w:t>1</w:t>
      </w:r>
      <w:r w:rsidR="273AD730" w:rsidRPr="18B27605">
        <w:rPr>
          <w:rFonts w:asciiTheme="minorHAnsi" w:hAnsiTheme="minorHAnsi" w:cstheme="minorBidi"/>
          <w:sz w:val="22"/>
          <w:szCs w:val="22"/>
        </w:rPr>
        <w:t>7</w:t>
      </w:r>
      <w:r w:rsidR="08FB063D" w:rsidRPr="18B27605">
        <w:rPr>
          <w:rFonts w:asciiTheme="minorHAnsi" w:hAnsiTheme="minorHAnsi" w:cstheme="minorBidi"/>
          <w:sz w:val="22"/>
          <w:szCs w:val="22"/>
        </w:rPr>
        <w:t>0</w:t>
      </w:r>
      <w:r w:rsidRPr="18B27605">
        <w:rPr>
          <w:rFonts w:asciiTheme="minorHAnsi" w:hAnsiTheme="minorHAnsi" w:cstheme="minorBidi"/>
          <w:sz w:val="22"/>
          <w:szCs w:val="22"/>
        </w:rPr>
        <w:t xml:space="preserve"> tutees</w:t>
      </w:r>
      <w:r w:rsidR="027096D7" w:rsidRPr="18B27605">
        <w:rPr>
          <w:rFonts w:asciiTheme="minorHAnsi" w:hAnsiTheme="minorHAnsi" w:cstheme="minorBidi"/>
          <w:sz w:val="22"/>
          <w:szCs w:val="22"/>
        </w:rPr>
        <w:t xml:space="preserve"> (7 groups)</w:t>
      </w:r>
    </w:p>
    <w:p w14:paraId="4B838133" w14:textId="0CFF5AAB" w:rsidR="005E642B" w:rsidRPr="00E30337" w:rsidRDefault="005E642B" w:rsidP="18B27605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Monitor attendance, behaviour and </w:t>
      </w:r>
      <w:r w:rsidR="6FC1025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commitment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of tutees and intervene as appropriate through implementation of the</w:t>
      </w:r>
      <w:r w:rsidR="0E74F09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Attendance,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196F9B">
        <w:rPr>
          <w:rStyle w:val="normaltextrun"/>
          <w:rFonts w:ascii="Calibri" w:hAnsi="Calibri" w:cs="Calibri"/>
          <w:sz w:val="22"/>
          <w:szCs w:val="22"/>
        </w:rPr>
        <w:t xml:space="preserve">Behaviour </w:t>
      </w:r>
      <w:r w:rsidR="064F5E72" w:rsidRPr="00196F9B">
        <w:rPr>
          <w:rStyle w:val="normaltextrun"/>
          <w:rFonts w:ascii="Calibri" w:hAnsi="Calibri" w:cs="Calibri"/>
          <w:sz w:val="22"/>
          <w:szCs w:val="22"/>
        </w:rPr>
        <w:t xml:space="preserve">and Commitment </w:t>
      </w:r>
      <w:r w:rsidR="00FC057D">
        <w:rPr>
          <w:rStyle w:val="normaltextrun"/>
          <w:rFonts w:ascii="Calibri" w:hAnsi="Calibri" w:cs="Calibri"/>
          <w:sz w:val="22"/>
          <w:szCs w:val="22"/>
        </w:rPr>
        <w:t>P</w:t>
      </w:r>
      <w:r w:rsidRPr="00196F9B">
        <w:rPr>
          <w:rStyle w:val="normaltextrun"/>
          <w:rFonts w:ascii="Calibri" w:hAnsi="Calibri" w:cs="Calibri"/>
          <w:sz w:val="22"/>
          <w:szCs w:val="22"/>
        </w:rPr>
        <w:t>olicy</w:t>
      </w:r>
    </w:p>
    <w:p w14:paraId="2A1CB855" w14:textId="3A0DF13B" w:rsidR="005E642B" w:rsidRPr="00E30337" w:rsidRDefault="3E07778F" w:rsidP="18B27605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Monitor wellbeing of students and respond as required to requests of safeguarding team</w:t>
      </w:r>
    </w:p>
    <w:p w14:paraId="783E0653" w14:textId="77777777" w:rsidR="00900B64" w:rsidRPr="00900B64" w:rsidRDefault="005E642B" w:rsidP="00B530BC">
      <w:pPr>
        <w:pStyle w:val="ListParagraph"/>
        <w:numPr>
          <w:ilvl w:val="0"/>
          <w:numId w:val="6"/>
        </w:numPr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Accurately record all intervention on CEDAR</w:t>
      </w:r>
    </w:p>
    <w:p w14:paraId="68128977" w14:textId="4DAB555D" w:rsidR="40E0CF52" w:rsidRDefault="40E0CF52" w:rsidP="18B27605">
      <w:pPr>
        <w:pStyle w:val="ListParagraph"/>
        <w:numPr>
          <w:ilvl w:val="0"/>
          <w:numId w:val="6"/>
        </w:numPr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Communicate as required with parents/carers to support their understanding of any concerns r</w:t>
      </w:r>
      <w:r w:rsidR="5A9326D7" w:rsidRPr="18B276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aised</w:t>
      </w:r>
    </w:p>
    <w:p w14:paraId="49A08AF7" w14:textId="77777777" w:rsidR="005E642B" w:rsidRPr="00900B64" w:rsidRDefault="005E642B" w:rsidP="00B530BC">
      <w:pPr>
        <w:pStyle w:val="ListParagraph"/>
        <w:numPr>
          <w:ilvl w:val="0"/>
          <w:numId w:val="6"/>
        </w:numPr>
        <w:textAlignment w:val="baseline"/>
        <w:rPr>
          <w:rFonts w:ascii="Calibri" w:hAnsi="Calibri" w:cs="Calibri"/>
          <w:sz w:val="22"/>
          <w:szCs w:val="22"/>
          <w:lang w:eastAsia="en-GB"/>
        </w:rPr>
      </w:pPr>
      <w:r w:rsidRPr="00900B64">
        <w:rPr>
          <w:rStyle w:val="normaltextrun"/>
          <w:rFonts w:ascii="Calibri" w:hAnsi="Calibri" w:cs="Calibri"/>
          <w:sz w:val="22"/>
          <w:szCs w:val="22"/>
        </w:rPr>
        <w:t xml:space="preserve">Meet regularly with Senior Progress Tutor to </w:t>
      </w:r>
      <w:r w:rsidR="00900B64" w:rsidRPr="00900B64">
        <w:rPr>
          <w:rStyle w:val="normaltextrun"/>
          <w:rFonts w:ascii="Calibri" w:hAnsi="Calibri" w:cs="Calibri"/>
          <w:sz w:val="22"/>
          <w:szCs w:val="22"/>
        </w:rPr>
        <w:t xml:space="preserve">update on intervention, </w:t>
      </w:r>
      <w:r w:rsidRPr="00900B64">
        <w:rPr>
          <w:rStyle w:val="normaltextrun"/>
          <w:rFonts w:ascii="Calibri" w:hAnsi="Calibri" w:cs="Calibri"/>
          <w:sz w:val="22"/>
          <w:szCs w:val="22"/>
        </w:rPr>
        <w:t xml:space="preserve">discuss </w:t>
      </w:r>
      <w:r w:rsidRPr="00900B6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appropriate and timely use of contracts, calls home and parental meetings </w:t>
      </w:r>
    </w:p>
    <w:p w14:paraId="5DAB6C7B" w14:textId="77777777" w:rsidR="005E642B" w:rsidRPr="005E642B" w:rsidRDefault="005E642B" w:rsidP="00900B64">
      <w:pPr>
        <w:pStyle w:val="ListParagraph"/>
        <w:textAlignment w:val="baseline"/>
        <w:rPr>
          <w:rStyle w:val="normaltextrun"/>
          <w:rFonts w:ascii="Calibri" w:hAnsi="Calibri" w:cs="Calibri"/>
          <w:sz w:val="22"/>
          <w:szCs w:val="22"/>
          <w:lang w:eastAsia="en-GB"/>
        </w:rPr>
      </w:pPr>
    </w:p>
    <w:p w14:paraId="02EB378F" w14:textId="77777777" w:rsidR="00900B64" w:rsidRDefault="00900B64" w:rsidP="00900B6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3B34922" w14:textId="77777777" w:rsidR="005E642B" w:rsidRPr="005E642B" w:rsidRDefault="005E642B" w:rsidP="005E64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 w:rsidRPr="005E642B">
        <w:rPr>
          <w:rStyle w:val="normaltextrun"/>
          <w:rFonts w:ascii="Calibri" w:hAnsi="Calibri" w:cs="Calibri"/>
          <w:b/>
          <w:sz w:val="22"/>
          <w:szCs w:val="22"/>
        </w:rPr>
        <w:t xml:space="preserve">Progression Support </w:t>
      </w:r>
    </w:p>
    <w:p w14:paraId="0B8CC032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Support students to complete accurate and timely UCAS applications by providing feedback on personal statements and composing UCAS references</w:t>
      </w:r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using input from subject teachers to appropriately reflect their suitability for their chosen course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CB87B2" w14:textId="77777777" w:rsidR="005E642B" w:rsidRPr="0006674F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0667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Support students to explore alternative progression and signpost to the careers team and external sources to support their applications for apprenticeships and employment </w:t>
      </w:r>
    </w:p>
    <w:p w14:paraId="0D26A6D5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 Careers events and trips which enhance students’ progression opportunities</w:t>
      </w:r>
    </w:p>
    <w:p w14:paraId="6A05A809" w14:textId="77777777" w:rsidR="00900B64" w:rsidRDefault="00900B64" w:rsidP="00900B64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4353E80C" w14:textId="77777777" w:rsidR="005E642B" w:rsidRPr="005E642B" w:rsidRDefault="005E642B" w:rsidP="005E642B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Admissions,</w:t>
      </w:r>
      <w:r w:rsidRPr="005E642B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Enrolment </w:t>
      </w: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&amp; Course Changes</w:t>
      </w:r>
    </w:p>
    <w:p w14:paraId="1545A71B" w14:textId="77777777" w:rsidR="005E642B" w:rsidRPr="00196F9B" w:rsidRDefault="005E642B" w:rsidP="00B530B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Interview prospective students </w:t>
      </w:r>
      <w:r w:rsidRPr="00196F9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and act as a Quality Assurance Checker for applications and enrolments</w:t>
      </w:r>
    </w:p>
    <w:p w14:paraId="5BE199F9" w14:textId="77777777" w:rsidR="005E642B" w:rsidRDefault="005E642B" w:rsidP="00B530B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 students and accurately record all intervention during the change of course process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39BBE3" w14:textId="77777777" w:rsidR="005E642B" w:rsidRPr="00196F9B" w:rsidRDefault="005E642B" w:rsidP="00900B64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720DA401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Wider contribution to HNC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759133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Operate at all times within College policies, procedures and protocols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09A0B9A7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Meet and embody all professional standards as applicable to role; Teaching, Operations, Managerial</w:t>
      </w:r>
    </w:p>
    <w:p w14:paraId="02CFF85C" w14:textId="77777777" w:rsidR="00D501A0" w:rsidRDefault="00D501A0" w:rsidP="00B530BC">
      <w:pPr>
        <w:pStyle w:val="paragraph"/>
        <w:numPr>
          <w:ilvl w:val="0"/>
          <w:numId w:val="2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All staff must have a clear understanding of the following key policies; Staff Code of Conduct, Health and Safety, Safeguarding and IT Acceptable and Safe Use and Equal Opportunities</w:t>
      </w:r>
    </w:p>
    <w:p w14:paraId="66A6A5BC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Encourage positive student behaviour to ensure a harmonious and safe environment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0CC67FD2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Proactively engage in professional development</w:t>
      </w:r>
    </w:p>
    <w:p w14:paraId="42A9ABD4" w14:textId="77777777" w:rsidR="00D501A0" w:rsidRDefault="00D501A0" w:rsidP="00B530BC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Understand the College’s mental health support initiatives, signposting students and colleagues where appropriate</w:t>
      </w:r>
    </w:p>
    <w:p w14:paraId="41C8F396" w14:textId="77777777" w:rsidR="00D501A0" w:rsidRPr="00EA6BEC" w:rsidRDefault="00D501A0" w:rsidP="00D501A0">
      <w:pPr>
        <w:rPr>
          <w:rFonts w:asciiTheme="minorHAnsi" w:hAnsiTheme="minorHAnsi" w:cstheme="minorHAnsi"/>
          <w:color w:val="00B0F0"/>
          <w:sz w:val="22"/>
          <w:szCs w:val="22"/>
        </w:rPr>
      </w:pPr>
    </w:p>
    <w:p w14:paraId="72A3D3EC" w14:textId="77777777" w:rsidR="00D501A0" w:rsidRDefault="00D501A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0D0B940D" w14:textId="77777777" w:rsidR="00935DA8" w:rsidRPr="00935DA8" w:rsidRDefault="00935DA8" w:rsidP="00935DA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42BF7D85" w:rsidRDefault="42BF7D85">
      <w:r>
        <w:br w:type="page"/>
      </w:r>
    </w:p>
    <w:tbl>
      <w:tblPr>
        <w:tblStyle w:val="TableGrid"/>
        <w:tblW w:w="9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3733"/>
        <w:gridCol w:w="2042"/>
      </w:tblGrid>
      <w:tr w:rsidR="18B27605" w14:paraId="75F5A60A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29DAED" w14:textId="34809A42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lastRenderedPageBreak/>
              <w:t>Person Specification</w:t>
            </w:r>
          </w:p>
        </w:tc>
      </w:tr>
      <w:tr w:rsidR="18B27605" w14:paraId="1312149D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FDAD851" w14:textId="3FC2121B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Essential Criteria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BB0A26" w14:textId="612D5F9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Desirable Criteria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3B54EE" w14:textId="7DCC8F4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Method of Assessment</w:t>
            </w:r>
          </w:p>
        </w:tc>
      </w:tr>
      <w:tr w:rsidR="18B27605" w14:paraId="68B79D1C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5BE05AA" w14:textId="39847414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Qualifications, Education, Training</w:t>
            </w:r>
          </w:p>
        </w:tc>
      </w:tr>
      <w:tr w:rsidR="18B27605" w14:paraId="0B1DB2E2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F11A1" w14:textId="32E41663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Honours degree (or equivalent) in a relevant subject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9220B0" w14:textId="14E3CAE2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Degree class 2:1 (or equivalent) or better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20C18E" w14:textId="17CE0F15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31DE18A5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A61D2" w14:textId="21A7BB1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11761" w14:textId="4E88F49C" w:rsidR="6368723E" w:rsidRDefault="6368723E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 recognised teaching qualification (either completed or in the process of completing)</w:t>
            </w:r>
          </w:p>
          <w:p w14:paraId="6E1591D5" w14:textId="58CEBAC8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DfE 11-16 / 11-18 PGCE with QTS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FDB45" w14:textId="1AEC0676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31D55E16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9442F" w14:textId="76B04EE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73CFDA" w14:textId="5E993C05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Recent relevant in-service training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483C1E" w14:textId="23484857" w:rsidR="18B27605" w:rsidRDefault="18B27605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06EE0C0E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86BB353" w14:textId="409D8705" w:rsidR="18B27605" w:rsidRDefault="18B27605" w:rsidP="18B27605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Relevant Experience</w:t>
            </w:r>
          </w:p>
        </w:tc>
      </w:tr>
      <w:tr w:rsidR="000A2B5E" w14:paraId="43018A44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BA080" w14:textId="4F73631A" w:rsidR="000A2B5E" w:rsidRDefault="000A2B5E" w:rsidP="000A2B5E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Commitment to supportively challenging young people to become their best selves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93082" w14:textId="18ADBEFB" w:rsidR="000A2B5E" w:rsidRPr="18B27605" w:rsidRDefault="000A2B5E" w:rsidP="000A2B5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Experience of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supportively challenging young people to become their best selves 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6B52F" w14:textId="5C845130" w:rsidR="000A2B5E" w:rsidRPr="18B27605" w:rsidRDefault="000A2B5E" w:rsidP="000A2B5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0F7B4A7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F79E02" w14:textId="00305383" w:rsidR="18B27605" w:rsidRDefault="008C34BD" w:rsidP="18B27605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="18B27605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ommitment to the pastoral care of </w:t>
            </w:r>
            <w:r w:rsidR="655521D0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young people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BB4A3" w14:textId="00D16A6B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Experience of working with students in a pastoral capacity within an educational setting (for example, as a form tutor, progress tutor, head of year or similar role)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F344B" w14:textId="33A6361D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CF6070" w14:paraId="12A05A94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FA204" w14:textId="16FFB81A" w:rsidR="00CF6070" w:rsidRDefault="00EB3552" w:rsidP="00CF6070">
            <w:pPr>
              <w:tabs>
                <w:tab w:val="left" w:pos="4761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Understanding of the </w:t>
            </w:r>
            <w:r w:rsidR="000A23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variety of progression </w:t>
            </w:r>
            <w:r w:rsidR="006B67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pathways available</w:t>
            </w:r>
            <w:r w:rsidR="000A23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young people after Level 3 study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80F9C" w14:textId="77777777" w:rsidR="00CF6070" w:rsidRDefault="00CF6070" w:rsidP="00CF6070">
            <w:pPr>
              <w:pStyle w:val="TableParagraph"/>
              <w:spacing w:line="222" w:lineRule="exact"/>
              <w:ind w:left="0"/>
              <w:rPr>
                <w:rFonts w:asciiTheme="minorHAnsi" w:eastAsia="Times New Roman" w:hAnsiTheme="minorHAnsi" w:cstheme="minorBidi"/>
                <w:color w:val="333333"/>
              </w:rPr>
            </w:pPr>
            <w:r w:rsidRPr="18B27605">
              <w:rPr>
                <w:rFonts w:asciiTheme="minorHAnsi" w:hAnsiTheme="minorHAnsi" w:cstheme="minorBidi"/>
              </w:rPr>
              <w:t>Experience of supporting students through the UCAS application process</w:t>
            </w:r>
          </w:p>
          <w:p w14:paraId="2A775396" w14:textId="77777777" w:rsidR="00CF6070" w:rsidRPr="18B27605" w:rsidRDefault="00CF6070" w:rsidP="00CF607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CE7D0E" w14:textId="01DBB24F" w:rsidR="00CF6070" w:rsidRPr="18B27605" w:rsidRDefault="00CF6070" w:rsidP="00CF607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52F42FB7" w14:textId="77777777" w:rsidTr="00C8733E">
        <w:trPr>
          <w:trHeight w:val="405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7C9D8" w14:textId="5023CA81" w:rsidR="3094F567" w:rsidRDefault="3094F567" w:rsidP="18B27605">
            <w:pPr>
              <w:rPr>
                <w:rFonts w:asciiTheme="minorHAnsi" w:hAnsiTheme="minorHAnsi" w:cstheme="minorBidi"/>
                <w:color w:val="333333"/>
                <w:sz w:val="22"/>
                <w:szCs w:val="22"/>
              </w:rPr>
            </w:pPr>
            <w:r w:rsidRPr="18B27605">
              <w:rPr>
                <w:rFonts w:asciiTheme="minorHAnsi" w:hAnsiTheme="minorHAnsi" w:cstheme="minorBidi"/>
                <w:sz w:val="22"/>
                <w:szCs w:val="22"/>
              </w:rPr>
              <w:t xml:space="preserve">Experience of having honest conversations with key stakeholders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F32F2" w14:textId="6328126F" w:rsidR="18B27605" w:rsidRDefault="3094F567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Theme="minorHAnsi" w:hAnsiTheme="minorHAnsi" w:cstheme="minorBidi"/>
                <w:sz w:val="22"/>
                <w:szCs w:val="22"/>
              </w:rPr>
              <w:t>Experience of having honest conversations with key stakeholders regarding studen</w:t>
            </w:r>
            <w:r w:rsidR="00CB36D7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Pr="18B27605">
              <w:rPr>
                <w:rFonts w:asciiTheme="minorHAnsi" w:hAnsiTheme="minorHAnsi" w:cstheme="minorBidi"/>
                <w:sz w:val="22"/>
                <w:szCs w:val="22"/>
              </w:rPr>
              <w:t xml:space="preserve"> attendance</w:t>
            </w:r>
            <w:r w:rsidR="00CB36D7">
              <w:rPr>
                <w:rFonts w:asciiTheme="minorHAnsi" w:hAnsiTheme="minorHAnsi" w:cstheme="minorBidi"/>
                <w:sz w:val="22"/>
                <w:szCs w:val="22"/>
              </w:rPr>
              <w:t xml:space="preserve">, behaviour, commitment </w:t>
            </w:r>
            <w:r w:rsidRPr="18B27605">
              <w:rPr>
                <w:rFonts w:asciiTheme="minorHAnsi" w:hAnsiTheme="minorHAnsi" w:cstheme="minorBidi"/>
                <w:sz w:val="22"/>
                <w:szCs w:val="22"/>
              </w:rPr>
              <w:t>and wellbeing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3FBF3B" w14:textId="1B5DD026" w:rsidR="3094F567" w:rsidRDefault="008A75E3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18B27605" w14:paraId="508FE001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994E765" w14:textId="1CD12B9A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Knowledge and Skills</w:t>
            </w:r>
          </w:p>
        </w:tc>
      </w:tr>
      <w:tr w:rsidR="18B27605" w14:paraId="5E08853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7CA2F" w14:textId="2DA8C9B0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Knowledge of recent issues and challenges relating to </w:t>
            </w:r>
            <w:r w:rsidR="3BDAC2DD"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16-19 year olds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85A9F" w14:textId="77777777" w:rsidR="00C8733E" w:rsidRDefault="00C8733E" w:rsidP="00C873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Knowledge of active learning and teaching styles and the ability to inspire a love of learning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95CDF88" w14:textId="410B05F9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A4350" w14:textId="7777777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Application</w:t>
            </w:r>
          </w:p>
          <w:p w14:paraId="7EFA4907" w14:textId="34681466" w:rsidR="00C8733E" w:rsidRDefault="00C8733E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00546AAD" w14:paraId="4ADF24C1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1A8C0B" w14:textId="1194DBB2" w:rsidR="00546AAD" w:rsidRPr="00546AAD" w:rsidRDefault="00546AAD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exercise effective behaviour management skills and ensure good student behaviour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7B55C5" w14:textId="77777777" w:rsidR="00546AAD" w:rsidRPr="00546AAD" w:rsidRDefault="00546AAD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61CE3" w14:textId="555B6996" w:rsidR="00546AAD" w:rsidRPr="00546AAD" w:rsidRDefault="00DF1499" w:rsidP="00546AA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230F7411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4C4C6F5B" w14:textId="513F79DF" w:rsidR="18B27605" w:rsidRDefault="18B27605" w:rsidP="18B27605">
            <w:pPr>
              <w:pStyle w:val="TableParagraph"/>
              <w:spacing w:line="222" w:lineRule="exact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Excellent IT skills, including MS Office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A3036" w14:textId="481CBBB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12A569" w14:textId="67A6FE77" w:rsidR="18B27605" w:rsidRDefault="008A75E3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2D08B41E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5B1EFE9D" w14:textId="5447AF58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Effective inter-personal and communication skills (written and verbal)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B21BBA" w14:textId="5631AFF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9E169F" w14:textId="34847D95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6CC54882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10BE9FAE" w14:textId="5B0936E2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  <w:lang w:val="en-GB"/>
              </w:rPr>
              <w:t>Ability to contribute positively to teams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71AFB" w14:textId="16AF867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80698" w14:textId="615EBFA4" w:rsidR="18B27605" w:rsidRDefault="006F464E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7CAD567A" w14:textId="77777777" w:rsidTr="00C8733E">
        <w:trPr>
          <w:trHeight w:val="300"/>
        </w:trPr>
        <w:tc>
          <w:tcPr>
            <w:tcW w:w="3630" w:type="dxa"/>
            <w:tcMar>
              <w:left w:w="105" w:type="dxa"/>
              <w:right w:w="105" w:type="dxa"/>
            </w:tcMar>
          </w:tcPr>
          <w:p w14:paraId="09561C34" w14:textId="60E259A8" w:rsidR="18B27605" w:rsidRDefault="18B27605" w:rsidP="18B27605">
            <w:pPr>
              <w:pStyle w:val="TableParagraph"/>
              <w:tabs>
                <w:tab w:val="left" w:pos="3235"/>
              </w:tabs>
              <w:spacing w:before="1" w:line="240" w:lineRule="auto"/>
              <w:ind w:left="0"/>
              <w:rPr>
                <w:color w:val="000000" w:themeColor="text1"/>
              </w:rPr>
            </w:pPr>
            <w:r w:rsidRPr="18B27605">
              <w:rPr>
                <w:color w:val="000000" w:themeColor="text1"/>
              </w:rPr>
              <w:t>Excellent organisational and administrative skills, with the ability to manage own time and meet demanding deadlines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A54406" w14:textId="38CF782C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B524C3" w14:textId="1AB32F4E" w:rsidR="18B27605" w:rsidRDefault="008C34BD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03EF2A28" w14:textId="77777777" w:rsidTr="00CF6070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205596" w14:textId="77C489B0" w:rsidR="18B27605" w:rsidRDefault="18B27605" w:rsidP="18B27605">
            <w:pPr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  <w:t>Attitude and Personal Qualities</w:t>
            </w:r>
          </w:p>
        </w:tc>
      </w:tr>
      <w:tr w:rsidR="18B27605" w14:paraId="57A88F52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4B3DE8" w14:textId="477347C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Commitment to HNC vision, mission, values and intent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DEF57" w14:textId="10CBF20F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B812C" w14:textId="17B98194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</w:tc>
      </w:tr>
      <w:tr w:rsidR="18B27605" w14:paraId="33735ECF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5BCF8" w14:textId="05842C11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Suitable to work with children up to the age of 18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6CC04" w14:textId="24D59205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CC58D" w14:textId="6A3CEB6A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Enhanced DBS clearance &amp; online vetting checks</w:t>
            </w:r>
          </w:p>
        </w:tc>
      </w:tr>
      <w:tr w:rsidR="18B27605" w14:paraId="34F82AA0" w14:textId="77777777" w:rsidTr="00C8733E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C7C87" w14:textId="78C7C1C3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Commitment to demonstrating a responsibility for safeguarding and promoting the welfare of young people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4B82D" w14:textId="37ECDC0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61CB7" w14:textId="7B370F76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8B2760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Assessment Centre</w:t>
            </w:r>
          </w:p>
          <w:p w14:paraId="508E20BC" w14:textId="6D7E1927" w:rsidR="18B27605" w:rsidRDefault="18B27605" w:rsidP="18B27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537F28F" w14:textId="735DB66E" w:rsidR="005E642B" w:rsidRPr="00FC1085" w:rsidRDefault="005E642B" w:rsidP="18B27605">
      <w:pPr>
        <w:rPr>
          <w:rFonts w:asciiTheme="minorHAnsi" w:hAnsiTheme="minorHAnsi" w:cstheme="minorBidi"/>
          <w:sz w:val="22"/>
          <w:szCs w:val="22"/>
        </w:rPr>
      </w:pPr>
    </w:p>
    <w:p w14:paraId="6DFB9E20" w14:textId="77777777" w:rsidR="00EB602D" w:rsidRPr="009C4462" w:rsidRDefault="00EB602D" w:rsidP="00EB602D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0"/>
          <w:szCs w:val="22"/>
        </w:rPr>
      </w:pPr>
    </w:p>
    <w:sectPr w:rsidR="00EB602D" w:rsidRPr="009C4462" w:rsidSect="00E32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1247" w:bottom="720" w:left="1247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EFE7" w14:textId="77777777" w:rsidR="008706B8" w:rsidRDefault="008706B8">
      <w:r>
        <w:separator/>
      </w:r>
    </w:p>
  </w:endnote>
  <w:endnote w:type="continuationSeparator" w:id="0">
    <w:p w14:paraId="248288F0" w14:textId="77777777" w:rsidR="008706B8" w:rsidRDefault="008706B8">
      <w:r>
        <w:continuationSeparator/>
      </w:r>
    </w:p>
  </w:endnote>
  <w:endnote w:type="continuationNotice" w:id="1">
    <w:p w14:paraId="3B0AFAD8" w14:textId="77777777" w:rsidR="008706B8" w:rsidRDefault="00870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7265" w14:textId="77777777" w:rsidR="00E03BE1" w:rsidRDefault="00E03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DE47" w14:textId="43E44E00" w:rsidR="00D55416" w:rsidRPr="001901A1" w:rsidRDefault="18B27605" w:rsidP="18B27605">
    <w:pPr>
      <w:tabs>
        <w:tab w:val="center" w:pos="4153"/>
        <w:tab w:val="right" w:pos="8306"/>
      </w:tabs>
      <w:rPr>
        <w:rFonts w:asciiTheme="minorHAnsi" w:hAnsiTheme="minorHAnsi" w:cstheme="minorBidi"/>
        <w:b/>
        <w:bCs/>
        <w:color w:val="808080" w:themeColor="background1" w:themeShade="80"/>
        <w:sz w:val="18"/>
        <w:szCs w:val="18"/>
      </w:rPr>
    </w:pPr>
    <w:r w:rsidRPr="18B27605">
      <w:rPr>
        <w:rFonts w:asciiTheme="minorHAnsi" w:hAnsiTheme="minorHAnsi" w:cstheme="minorBidi"/>
        <w:b/>
        <w:bCs/>
        <w:color w:val="808080" w:themeColor="background1" w:themeShade="80"/>
        <w:sz w:val="18"/>
        <w:szCs w:val="18"/>
      </w:rPr>
      <w:t>Date created J</w:t>
    </w:r>
    <w:r w:rsidR="008040BE">
      <w:rPr>
        <w:rFonts w:asciiTheme="minorHAnsi" w:hAnsiTheme="minorHAnsi" w:cstheme="minorBidi"/>
        <w:b/>
        <w:bCs/>
        <w:color w:val="808080" w:themeColor="background1" w:themeShade="80"/>
        <w:sz w:val="18"/>
        <w:szCs w:val="18"/>
      </w:rPr>
      <w:t>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9FF1" w14:textId="77777777" w:rsidR="00E03BE1" w:rsidRDefault="00E03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FBAE" w14:textId="77777777" w:rsidR="008706B8" w:rsidRDefault="008706B8">
      <w:r>
        <w:separator/>
      </w:r>
    </w:p>
  </w:footnote>
  <w:footnote w:type="continuationSeparator" w:id="0">
    <w:p w14:paraId="7AD690ED" w14:textId="77777777" w:rsidR="008706B8" w:rsidRDefault="008706B8">
      <w:r>
        <w:continuationSeparator/>
      </w:r>
    </w:p>
  </w:footnote>
  <w:footnote w:type="continuationNotice" w:id="1">
    <w:p w14:paraId="79E961C9" w14:textId="77777777" w:rsidR="008706B8" w:rsidRDefault="00870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FFBE" w14:textId="77777777" w:rsidR="00E03BE1" w:rsidRDefault="00E03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88B2" w14:textId="226CD931" w:rsidR="00D918EC" w:rsidRDefault="00D918EC" w:rsidP="005F0BB4">
    <w:pPr>
      <w:pStyle w:val="Header"/>
      <w:rPr>
        <w:rFonts w:ascii="Calibri" w:eastAsia="Calibri" w:hAnsi="Calibri"/>
        <w:b/>
        <w:sz w:val="3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25CB8C2" wp14:editId="25142227">
          <wp:simplePos x="0" y="0"/>
          <wp:positionH relativeFrom="margin">
            <wp:posOffset>5686425</wp:posOffset>
          </wp:positionH>
          <wp:positionV relativeFrom="margin">
            <wp:posOffset>-1451610</wp:posOffset>
          </wp:positionV>
          <wp:extent cx="810260" cy="825500"/>
          <wp:effectExtent l="0" t="0" r="8890" b="0"/>
          <wp:wrapTight wrapText="bothSides">
            <wp:wrapPolygon edited="0">
              <wp:start x="0" y="0"/>
              <wp:lineTo x="0" y="20935"/>
              <wp:lineTo x="21329" y="20935"/>
              <wp:lineTo x="21329" y="0"/>
              <wp:lineTo x="0" y="0"/>
            </wp:wrapPolygon>
          </wp:wrapTight>
          <wp:docPr id="3" name="Picture 3" descr="A green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square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A2C92" w14:textId="77777777" w:rsidR="00D918EC" w:rsidRDefault="00D918EC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44E871BC" w14:textId="728CE652" w:rsidR="00195FBF" w:rsidRDefault="00195FBF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5FE928B3" w14:textId="3BB0F008" w:rsidR="00C10208" w:rsidRDefault="00C10208" w:rsidP="00E03BE1">
    <w:pPr>
      <w:pStyle w:val="Header"/>
      <w:tabs>
        <w:tab w:val="clear" w:pos="4153"/>
        <w:tab w:val="clear" w:pos="8306"/>
        <w:tab w:val="left" w:pos="6330"/>
      </w:tabs>
      <w:rPr>
        <w:rFonts w:ascii="Calibri" w:eastAsia="Calibri" w:hAnsi="Calibri"/>
        <w:b/>
        <w:sz w:val="32"/>
        <w:szCs w:val="22"/>
      </w:rPr>
    </w:pPr>
    <w:r>
      <w:rPr>
        <w:rFonts w:ascii="Calibri" w:eastAsia="Calibri" w:hAnsi="Calibri"/>
        <w:b/>
        <w:sz w:val="32"/>
        <w:szCs w:val="22"/>
      </w:rPr>
      <w:t>Job Description</w:t>
    </w:r>
    <w:r w:rsidR="00E03BE1">
      <w:rPr>
        <w:rFonts w:ascii="Calibri" w:eastAsia="Calibri" w:hAnsi="Calibri"/>
        <w:b/>
        <w:sz w:val="32"/>
        <w:szCs w:val="22"/>
      </w:rPr>
      <w:tab/>
    </w:r>
  </w:p>
  <w:p w14:paraId="144A5D23" w14:textId="77777777" w:rsidR="00C10208" w:rsidRPr="005F0BB4" w:rsidRDefault="00C10208" w:rsidP="005F0BB4">
    <w:pPr>
      <w:pStyle w:val="Header"/>
      <w:rPr>
        <w:rFonts w:ascii="Calibri" w:eastAsia="Calibri" w:hAnsi="Calibri"/>
        <w:sz w:val="6"/>
        <w:szCs w:val="22"/>
      </w:rPr>
    </w:pPr>
  </w:p>
  <w:p w14:paraId="738610EB" w14:textId="77777777" w:rsidR="00C10208" w:rsidRDefault="00C10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2A51" w14:textId="77777777" w:rsidR="00E03BE1" w:rsidRDefault="00E03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BD8B"/>
    <w:multiLevelType w:val="hybridMultilevel"/>
    <w:tmpl w:val="1064349E"/>
    <w:lvl w:ilvl="0" w:tplc="1486B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E6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21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4E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AF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E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6F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E2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2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60FD"/>
    <w:multiLevelType w:val="hybridMultilevel"/>
    <w:tmpl w:val="7E0E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D89"/>
    <w:multiLevelType w:val="multilevel"/>
    <w:tmpl w:val="46C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21AA9"/>
    <w:multiLevelType w:val="hybridMultilevel"/>
    <w:tmpl w:val="E464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93504"/>
    <w:multiLevelType w:val="multilevel"/>
    <w:tmpl w:val="3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17688"/>
    <w:multiLevelType w:val="hybridMultilevel"/>
    <w:tmpl w:val="68B09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6673">
    <w:abstractNumId w:val="0"/>
  </w:num>
  <w:num w:numId="2" w16cid:durableId="407076629">
    <w:abstractNumId w:val="4"/>
  </w:num>
  <w:num w:numId="3" w16cid:durableId="684481514">
    <w:abstractNumId w:val="2"/>
  </w:num>
  <w:num w:numId="4" w16cid:durableId="1442800645">
    <w:abstractNumId w:val="3"/>
  </w:num>
  <w:num w:numId="5" w16cid:durableId="831457916">
    <w:abstractNumId w:val="1"/>
  </w:num>
  <w:num w:numId="6" w16cid:durableId="10020079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C"/>
    <w:rsid w:val="00020E2D"/>
    <w:rsid w:val="00024486"/>
    <w:rsid w:val="000249BB"/>
    <w:rsid w:val="00036A96"/>
    <w:rsid w:val="0003795E"/>
    <w:rsid w:val="000472DB"/>
    <w:rsid w:val="00050723"/>
    <w:rsid w:val="0005697F"/>
    <w:rsid w:val="00061F98"/>
    <w:rsid w:val="00067A8A"/>
    <w:rsid w:val="0007447F"/>
    <w:rsid w:val="00082D33"/>
    <w:rsid w:val="00083793"/>
    <w:rsid w:val="000963A1"/>
    <w:rsid w:val="000A2347"/>
    <w:rsid w:val="000A2B5E"/>
    <w:rsid w:val="000A63E7"/>
    <w:rsid w:val="000A7071"/>
    <w:rsid w:val="000A7ACE"/>
    <w:rsid w:val="000B6751"/>
    <w:rsid w:val="000B7ECB"/>
    <w:rsid w:val="000C103D"/>
    <w:rsid w:val="000D4D31"/>
    <w:rsid w:val="000D796E"/>
    <w:rsid w:val="000E64B2"/>
    <w:rsid w:val="000F3718"/>
    <w:rsid w:val="00101CB3"/>
    <w:rsid w:val="0012709C"/>
    <w:rsid w:val="00133AB2"/>
    <w:rsid w:val="00145E76"/>
    <w:rsid w:val="00152661"/>
    <w:rsid w:val="00153B3F"/>
    <w:rsid w:val="00171026"/>
    <w:rsid w:val="0018298B"/>
    <w:rsid w:val="001901A1"/>
    <w:rsid w:val="00195FBF"/>
    <w:rsid w:val="00196FC6"/>
    <w:rsid w:val="001A7FBB"/>
    <w:rsid w:val="001B4ED6"/>
    <w:rsid w:val="001B702C"/>
    <w:rsid w:val="001C1DFC"/>
    <w:rsid w:val="001E1657"/>
    <w:rsid w:val="001E23A2"/>
    <w:rsid w:val="001E2751"/>
    <w:rsid w:val="001F6B67"/>
    <w:rsid w:val="00203EE9"/>
    <w:rsid w:val="0020419B"/>
    <w:rsid w:val="00213907"/>
    <w:rsid w:val="00213A16"/>
    <w:rsid w:val="0023249A"/>
    <w:rsid w:val="0023395A"/>
    <w:rsid w:val="00233B58"/>
    <w:rsid w:val="002358E4"/>
    <w:rsid w:val="002618C9"/>
    <w:rsid w:val="00264912"/>
    <w:rsid w:val="002962E8"/>
    <w:rsid w:val="002B0754"/>
    <w:rsid w:val="002B36F8"/>
    <w:rsid w:val="002E419F"/>
    <w:rsid w:val="002E6BFB"/>
    <w:rsid w:val="002F4DB3"/>
    <w:rsid w:val="003030A3"/>
    <w:rsid w:val="00306737"/>
    <w:rsid w:val="003079F7"/>
    <w:rsid w:val="003151D3"/>
    <w:rsid w:val="00317FF9"/>
    <w:rsid w:val="003252D7"/>
    <w:rsid w:val="00331ED5"/>
    <w:rsid w:val="00332C47"/>
    <w:rsid w:val="003339CF"/>
    <w:rsid w:val="00335CD7"/>
    <w:rsid w:val="00337411"/>
    <w:rsid w:val="00342EAC"/>
    <w:rsid w:val="00360A7D"/>
    <w:rsid w:val="0036329C"/>
    <w:rsid w:val="00370A6D"/>
    <w:rsid w:val="00382C69"/>
    <w:rsid w:val="00383517"/>
    <w:rsid w:val="00383B46"/>
    <w:rsid w:val="0039512D"/>
    <w:rsid w:val="003A242E"/>
    <w:rsid w:val="003A5A46"/>
    <w:rsid w:val="003B05B7"/>
    <w:rsid w:val="003C008C"/>
    <w:rsid w:val="003C6FDA"/>
    <w:rsid w:val="003D748F"/>
    <w:rsid w:val="003E0AD0"/>
    <w:rsid w:val="003F3077"/>
    <w:rsid w:val="004031DB"/>
    <w:rsid w:val="0041163C"/>
    <w:rsid w:val="004124E1"/>
    <w:rsid w:val="00416D97"/>
    <w:rsid w:val="0042696A"/>
    <w:rsid w:val="00460515"/>
    <w:rsid w:val="00463345"/>
    <w:rsid w:val="004637A8"/>
    <w:rsid w:val="00483093"/>
    <w:rsid w:val="00486B37"/>
    <w:rsid w:val="00491D5A"/>
    <w:rsid w:val="00495201"/>
    <w:rsid w:val="0049649D"/>
    <w:rsid w:val="004A53F5"/>
    <w:rsid w:val="004B1382"/>
    <w:rsid w:val="004B387C"/>
    <w:rsid w:val="004C288C"/>
    <w:rsid w:val="004C3346"/>
    <w:rsid w:val="004F515A"/>
    <w:rsid w:val="00503B00"/>
    <w:rsid w:val="005221A8"/>
    <w:rsid w:val="00525756"/>
    <w:rsid w:val="00526FB0"/>
    <w:rsid w:val="005439C0"/>
    <w:rsid w:val="00546AAD"/>
    <w:rsid w:val="00553069"/>
    <w:rsid w:val="00572FC6"/>
    <w:rsid w:val="0059204D"/>
    <w:rsid w:val="005A6B8B"/>
    <w:rsid w:val="005B4C21"/>
    <w:rsid w:val="005C72CE"/>
    <w:rsid w:val="005C7A1F"/>
    <w:rsid w:val="005D732A"/>
    <w:rsid w:val="005E2EE7"/>
    <w:rsid w:val="005E642B"/>
    <w:rsid w:val="005E6B24"/>
    <w:rsid w:val="005F0BB4"/>
    <w:rsid w:val="00613FC7"/>
    <w:rsid w:val="00614F8D"/>
    <w:rsid w:val="00624B7C"/>
    <w:rsid w:val="00626454"/>
    <w:rsid w:val="00647573"/>
    <w:rsid w:val="006527E9"/>
    <w:rsid w:val="00662650"/>
    <w:rsid w:val="0066361E"/>
    <w:rsid w:val="0066635A"/>
    <w:rsid w:val="00666804"/>
    <w:rsid w:val="00670274"/>
    <w:rsid w:val="00680895"/>
    <w:rsid w:val="006913A8"/>
    <w:rsid w:val="00693AD8"/>
    <w:rsid w:val="006A6B81"/>
    <w:rsid w:val="006A76F4"/>
    <w:rsid w:val="006A7FFE"/>
    <w:rsid w:val="006B59A9"/>
    <w:rsid w:val="006B67C0"/>
    <w:rsid w:val="006B79DE"/>
    <w:rsid w:val="006F3DD7"/>
    <w:rsid w:val="006F464E"/>
    <w:rsid w:val="00701253"/>
    <w:rsid w:val="00701858"/>
    <w:rsid w:val="00705C69"/>
    <w:rsid w:val="00710662"/>
    <w:rsid w:val="00717637"/>
    <w:rsid w:val="00720E8B"/>
    <w:rsid w:val="00720EE6"/>
    <w:rsid w:val="00725B97"/>
    <w:rsid w:val="00727C0D"/>
    <w:rsid w:val="00741E19"/>
    <w:rsid w:val="00751D3E"/>
    <w:rsid w:val="00782337"/>
    <w:rsid w:val="0078557B"/>
    <w:rsid w:val="00792A1B"/>
    <w:rsid w:val="007A0062"/>
    <w:rsid w:val="007B7174"/>
    <w:rsid w:val="007C05D5"/>
    <w:rsid w:val="007D47BC"/>
    <w:rsid w:val="007E172D"/>
    <w:rsid w:val="007F1BB0"/>
    <w:rsid w:val="00800B20"/>
    <w:rsid w:val="008040BE"/>
    <w:rsid w:val="00805A09"/>
    <w:rsid w:val="008364FB"/>
    <w:rsid w:val="008370EE"/>
    <w:rsid w:val="00843A2A"/>
    <w:rsid w:val="00852CDE"/>
    <w:rsid w:val="00855CB0"/>
    <w:rsid w:val="008706B8"/>
    <w:rsid w:val="008761AE"/>
    <w:rsid w:val="00880D1F"/>
    <w:rsid w:val="0089501F"/>
    <w:rsid w:val="008A0F4F"/>
    <w:rsid w:val="008A6AAC"/>
    <w:rsid w:val="008A75E3"/>
    <w:rsid w:val="008B0262"/>
    <w:rsid w:val="008C2012"/>
    <w:rsid w:val="008C34BD"/>
    <w:rsid w:val="008D1D45"/>
    <w:rsid w:val="008D770E"/>
    <w:rsid w:val="008E3F36"/>
    <w:rsid w:val="008F0EB1"/>
    <w:rsid w:val="008F7586"/>
    <w:rsid w:val="00900B64"/>
    <w:rsid w:val="00921F27"/>
    <w:rsid w:val="00935DA8"/>
    <w:rsid w:val="0094593B"/>
    <w:rsid w:val="00954F62"/>
    <w:rsid w:val="00957B17"/>
    <w:rsid w:val="00960041"/>
    <w:rsid w:val="00964783"/>
    <w:rsid w:val="00996F09"/>
    <w:rsid w:val="009A0B59"/>
    <w:rsid w:val="009A13D8"/>
    <w:rsid w:val="009D6DB7"/>
    <w:rsid w:val="009E2C5C"/>
    <w:rsid w:val="009E5C1A"/>
    <w:rsid w:val="009F6369"/>
    <w:rsid w:val="00A05EA3"/>
    <w:rsid w:val="00A22C62"/>
    <w:rsid w:val="00A3061A"/>
    <w:rsid w:val="00A47875"/>
    <w:rsid w:val="00A57F72"/>
    <w:rsid w:val="00A823C6"/>
    <w:rsid w:val="00A8416D"/>
    <w:rsid w:val="00AB2541"/>
    <w:rsid w:val="00AD1CBA"/>
    <w:rsid w:val="00B06C34"/>
    <w:rsid w:val="00B22FA7"/>
    <w:rsid w:val="00B44AE9"/>
    <w:rsid w:val="00B50918"/>
    <w:rsid w:val="00B530BC"/>
    <w:rsid w:val="00B75BE6"/>
    <w:rsid w:val="00B802DB"/>
    <w:rsid w:val="00B80C59"/>
    <w:rsid w:val="00B86EEF"/>
    <w:rsid w:val="00B91B1C"/>
    <w:rsid w:val="00B97DEE"/>
    <w:rsid w:val="00BE36B1"/>
    <w:rsid w:val="00BE556F"/>
    <w:rsid w:val="00BE5D86"/>
    <w:rsid w:val="00BE7252"/>
    <w:rsid w:val="00C03D1A"/>
    <w:rsid w:val="00C04088"/>
    <w:rsid w:val="00C10208"/>
    <w:rsid w:val="00C226CE"/>
    <w:rsid w:val="00C503FD"/>
    <w:rsid w:val="00C50A28"/>
    <w:rsid w:val="00C74258"/>
    <w:rsid w:val="00C77718"/>
    <w:rsid w:val="00C8733E"/>
    <w:rsid w:val="00CB36D7"/>
    <w:rsid w:val="00CC28D8"/>
    <w:rsid w:val="00CC38EE"/>
    <w:rsid w:val="00CC788E"/>
    <w:rsid w:val="00CE61DD"/>
    <w:rsid w:val="00CF6070"/>
    <w:rsid w:val="00D07EAD"/>
    <w:rsid w:val="00D30864"/>
    <w:rsid w:val="00D36140"/>
    <w:rsid w:val="00D501A0"/>
    <w:rsid w:val="00D50801"/>
    <w:rsid w:val="00D53D6F"/>
    <w:rsid w:val="00D55416"/>
    <w:rsid w:val="00D67AFC"/>
    <w:rsid w:val="00D744BF"/>
    <w:rsid w:val="00D90A3D"/>
    <w:rsid w:val="00D918EC"/>
    <w:rsid w:val="00DB0064"/>
    <w:rsid w:val="00DB58F3"/>
    <w:rsid w:val="00DC34BB"/>
    <w:rsid w:val="00DE5753"/>
    <w:rsid w:val="00DF1499"/>
    <w:rsid w:val="00DF4729"/>
    <w:rsid w:val="00E03BE1"/>
    <w:rsid w:val="00E04DEE"/>
    <w:rsid w:val="00E07663"/>
    <w:rsid w:val="00E3254D"/>
    <w:rsid w:val="00E433B6"/>
    <w:rsid w:val="00E74330"/>
    <w:rsid w:val="00E82939"/>
    <w:rsid w:val="00E83801"/>
    <w:rsid w:val="00E84488"/>
    <w:rsid w:val="00EA6BEC"/>
    <w:rsid w:val="00EB3552"/>
    <w:rsid w:val="00EB3D60"/>
    <w:rsid w:val="00EB602D"/>
    <w:rsid w:val="00EB630D"/>
    <w:rsid w:val="00EF4ABA"/>
    <w:rsid w:val="00EF6635"/>
    <w:rsid w:val="00F06C63"/>
    <w:rsid w:val="00F30983"/>
    <w:rsid w:val="00F3102A"/>
    <w:rsid w:val="00F42B72"/>
    <w:rsid w:val="00F53C27"/>
    <w:rsid w:val="00F7043E"/>
    <w:rsid w:val="00F73CE6"/>
    <w:rsid w:val="00F82C77"/>
    <w:rsid w:val="00F97451"/>
    <w:rsid w:val="00FA6D80"/>
    <w:rsid w:val="00FA7AEE"/>
    <w:rsid w:val="00FB4F6A"/>
    <w:rsid w:val="00FC057D"/>
    <w:rsid w:val="00FC35AD"/>
    <w:rsid w:val="00FC4FE0"/>
    <w:rsid w:val="00FD08A9"/>
    <w:rsid w:val="00FD7198"/>
    <w:rsid w:val="00FE4D77"/>
    <w:rsid w:val="00FE5367"/>
    <w:rsid w:val="00FF6494"/>
    <w:rsid w:val="027096D7"/>
    <w:rsid w:val="064F5E72"/>
    <w:rsid w:val="07070C39"/>
    <w:rsid w:val="08FB063D"/>
    <w:rsid w:val="0A35D0C0"/>
    <w:rsid w:val="0C2631F7"/>
    <w:rsid w:val="0E1642DC"/>
    <w:rsid w:val="0E74F098"/>
    <w:rsid w:val="12CB0001"/>
    <w:rsid w:val="138A33CB"/>
    <w:rsid w:val="17EDD0C0"/>
    <w:rsid w:val="18B27605"/>
    <w:rsid w:val="1927FDAC"/>
    <w:rsid w:val="1AE2933F"/>
    <w:rsid w:val="1F7BB1EC"/>
    <w:rsid w:val="2235D684"/>
    <w:rsid w:val="25CA52F8"/>
    <w:rsid w:val="273AD730"/>
    <w:rsid w:val="2D4714AD"/>
    <w:rsid w:val="2FA5E9D8"/>
    <w:rsid w:val="3094F567"/>
    <w:rsid w:val="3A3C7648"/>
    <w:rsid w:val="3BDAC2DD"/>
    <w:rsid w:val="3E07778F"/>
    <w:rsid w:val="40E0CF52"/>
    <w:rsid w:val="42BF7D85"/>
    <w:rsid w:val="49439C22"/>
    <w:rsid w:val="4AF64C16"/>
    <w:rsid w:val="4B6E437D"/>
    <w:rsid w:val="4CA7398F"/>
    <w:rsid w:val="4CF5B259"/>
    <w:rsid w:val="4EA3E934"/>
    <w:rsid w:val="545EA332"/>
    <w:rsid w:val="5A9326D7"/>
    <w:rsid w:val="5F569CC6"/>
    <w:rsid w:val="6072C41E"/>
    <w:rsid w:val="63479982"/>
    <w:rsid w:val="6368723E"/>
    <w:rsid w:val="64102600"/>
    <w:rsid w:val="655521D0"/>
    <w:rsid w:val="664B37D6"/>
    <w:rsid w:val="6987E78A"/>
    <w:rsid w:val="6A4787B2"/>
    <w:rsid w:val="6AC4B4DD"/>
    <w:rsid w:val="6B41A0DC"/>
    <w:rsid w:val="6B9FCE05"/>
    <w:rsid w:val="6BEFF5B7"/>
    <w:rsid w:val="6CDEFF39"/>
    <w:rsid w:val="6D454C19"/>
    <w:rsid w:val="6D49B91A"/>
    <w:rsid w:val="6F737C5A"/>
    <w:rsid w:val="6F7CB91E"/>
    <w:rsid w:val="6FC1025D"/>
    <w:rsid w:val="744271B2"/>
    <w:rsid w:val="759914DE"/>
    <w:rsid w:val="77B22BE9"/>
    <w:rsid w:val="7B92FB95"/>
    <w:rsid w:val="7C93C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73A11"/>
  <w15:chartTrackingRefBased/>
  <w15:docId w15:val="{123CFBC2-A5CD-4454-9BE2-47AE1B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40" w:after="40"/>
      <w:jc w:val="both"/>
    </w:pPr>
    <w:rPr>
      <w:lang w:eastAsia="x-none"/>
    </w:rPr>
  </w:style>
  <w:style w:type="paragraph" w:styleId="BodyText2">
    <w:name w:val="Body Text 2"/>
    <w:basedOn w:val="Normal"/>
    <w:pPr>
      <w:spacing w:before="40" w:after="40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B97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7DE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42B72"/>
    <w:rPr>
      <w:sz w:val="24"/>
      <w:lang w:val="en-GB"/>
    </w:rPr>
  </w:style>
  <w:style w:type="character" w:customStyle="1" w:styleId="Heading2Char">
    <w:name w:val="Heading 2 Char"/>
    <w:link w:val="Heading2"/>
    <w:rsid w:val="003339CF"/>
    <w:rPr>
      <w:b/>
      <w:sz w:val="24"/>
      <w:lang w:val="en-GB"/>
    </w:rPr>
  </w:style>
  <w:style w:type="character" w:customStyle="1" w:styleId="Heading3Char">
    <w:name w:val="Heading 3 Char"/>
    <w:link w:val="Heading3"/>
    <w:rsid w:val="003339CF"/>
    <w:rPr>
      <w:b/>
      <w:sz w:val="24"/>
      <w:lang w:val="en-GB"/>
    </w:rPr>
  </w:style>
  <w:style w:type="character" w:customStyle="1" w:styleId="Heading4Char">
    <w:name w:val="Heading 4 Char"/>
    <w:link w:val="Heading4"/>
    <w:rsid w:val="003339CF"/>
    <w:rPr>
      <w:b/>
      <w:sz w:val="22"/>
      <w:lang w:val="en-GB"/>
    </w:rPr>
  </w:style>
  <w:style w:type="character" w:customStyle="1" w:styleId="BodyTextChar">
    <w:name w:val="Body Text Char"/>
    <w:link w:val="BodyText"/>
    <w:rsid w:val="003339C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800B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6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0BB4"/>
    <w:rPr>
      <w:sz w:val="24"/>
      <w:lang w:eastAsia="en-US"/>
    </w:rPr>
  </w:style>
  <w:style w:type="table" w:styleId="TableGrid">
    <w:name w:val="Table Grid"/>
    <w:basedOn w:val="TableNormal"/>
    <w:uiPriority w:val="59"/>
    <w:rsid w:val="003A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602D"/>
    <w:pPr>
      <w:widowControl w:val="0"/>
      <w:autoSpaceDE w:val="0"/>
      <w:autoSpaceDN w:val="0"/>
      <w:spacing w:line="243" w:lineRule="exact"/>
      <w:ind w:left="102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paragraph">
    <w:name w:val="paragraph"/>
    <w:basedOn w:val="Normal"/>
    <w:rsid w:val="00D501A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D501A0"/>
  </w:style>
  <w:style w:type="character" w:customStyle="1" w:styleId="eop">
    <w:name w:val="eop"/>
    <w:basedOn w:val="DefaultParagraphFont"/>
    <w:rsid w:val="00D5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ptl%20job%20description%20&amp;%20person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71CBB25D5D4E911351373DB13C3E" ma:contentTypeVersion="8" ma:contentTypeDescription="Create a new document." ma:contentTypeScope="" ma:versionID="ddb7e9c06b59c6dbd56baa261ee82750">
  <xsd:schema xmlns:xsd="http://www.w3.org/2001/XMLSchema" xmlns:xs="http://www.w3.org/2001/XMLSchema" xmlns:p="http://schemas.microsoft.com/office/2006/metadata/properties" xmlns:ns2="c2e998b5-f322-4793-ae40-fde40e07b614" xmlns:ns3="8d0111de-3212-4330-b9e3-f5846a38a39f" targetNamespace="http://schemas.microsoft.com/office/2006/metadata/properties" ma:root="true" ma:fieldsID="8da72c7f7e9cd4938fad2a9daf4e2a3f" ns2:_="" ns3:_="">
    <xsd:import namespace="c2e998b5-f322-4793-ae40-fde40e07b614"/>
    <xsd:import namespace="8d0111de-3212-4330-b9e3-f5846a38a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98b5-f322-4793-ae40-fde40e07b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111de-3212-4330-b9e3-f5846a38a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A34D3-CA5A-489E-AC77-8FD15C5E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98b5-f322-4793-ae40-fde40e07b614"/>
    <ds:schemaRef ds:uri="8d0111de-3212-4330-b9e3-f5846a38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FB0C7-E7A7-448B-BB3E-DB04FA676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F6063-F575-4894-8655-0675B01A51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61950-C2B1-44F1-8A0B-8C046F2B2F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ptl job description &amp; person spec</Template>
  <TotalTime>0</TotalTime>
  <Pages>4</Pages>
  <Words>708</Words>
  <Characters>4448</Characters>
  <Application>Microsoft Office Word</Application>
  <DocSecurity>0</DocSecurity>
  <Lines>37</Lines>
  <Paragraphs>10</Paragraphs>
  <ScaleCrop>false</ScaleCrop>
  <Company>Dewsbury College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DEWSBURY COLLEGE</dc:title>
  <dc:subject/>
  <dc:creator>IT Support</dc:creator>
  <cp:keywords/>
  <cp:lastModifiedBy>Helen Ward</cp:lastModifiedBy>
  <cp:revision>3</cp:revision>
  <cp:lastPrinted>2019-11-18T14:56:00Z</cp:lastPrinted>
  <dcterms:created xsi:type="dcterms:W3CDTF">2025-06-23T12:03:00Z</dcterms:created>
  <dcterms:modified xsi:type="dcterms:W3CDTF">2025-06-23T12:05:00Z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0x010100040E71CBB25D5D4E911351373DB13C3E</vt:lpwstr>
  </property>
</Properties>
</file>