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  <w:color w:val="20124d"/>
          <w:sz w:val="40"/>
          <w:szCs w:val="40"/>
        </w:rPr>
      </w:pP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904875" cy="7524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alibri" w:cs="Calibri" w:eastAsia="Calibri" w:hAnsi="Calibri"/>
          <w:b w:val="1"/>
          <w:color w:val="20124d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color w:val="20124d"/>
          <w:sz w:val="40"/>
          <w:szCs w:val="40"/>
          <w:rtl w:val="0"/>
        </w:rPr>
        <w:t xml:space="preserve">Wheatley Park School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alibri" w:cs="Calibri" w:eastAsia="Calibri" w:hAnsi="Calibri"/>
          <w:color w:val="20124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20124d"/>
          <w:sz w:val="28"/>
          <w:szCs w:val="28"/>
          <w:rtl w:val="0"/>
        </w:rPr>
        <w:t xml:space="preserve">Everyone Learning - Everyone Caring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alibri" w:cs="Calibri" w:eastAsia="Calibri" w:hAnsi="Calibri"/>
          <w:b w:val="1"/>
          <w:color w:val="20124d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20124d"/>
          <w:sz w:val="32"/>
          <w:szCs w:val="32"/>
          <w:rtl w:val="0"/>
        </w:rPr>
        <w:t xml:space="preserve">Assistant Headteacher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Calibri" w:cs="Calibri" w:eastAsia="Calibri" w:hAnsi="Calibri"/>
          <w:b w:val="1"/>
          <w:color w:val="20124d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20124d"/>
          <w:sz w:val="32"/>
          <w:szCs w:val="32"/>
          <w:rtl w:val="0"/>
        </w:rPr>
        <w:t xml:space="preserve">September 2018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Selection Criteria</w:t>
      </w: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4320"/>
        <w:gridCol w:w="4320"/>
        <w:tblGridChange w:id="0">
          <w:tblGrid>
            <w:gridCol w:w="1605"/>
            <w:gridCol w:w="4320"/>
            <w:gridCol w:w="4320"/>
          </w:tblGrid>
        </w:tblGridChange>
      </w:tblGrid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Qualifications and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Degree and a strong academic record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PGCE or equivalent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Wide range of up-to-date CPDL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Leadership training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Up-to-date knowledge of key national guidance, agendas and frameworks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Honours graduate, 2.1 or better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Relevant masters level qualification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Sustained track record of successful teaching at 11 - 16 across the full range of prior attainment levels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Substantial secondary school leadership experience resulting in deep and lasting improvements to student experience and outcomes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high-quality monitoring and evaluation leading to demonstrable improvements in the performance of a team or individuals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instigating and managing sustained changes to systems and culture that have directly enhanced learning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leading effectively when faced with significant pressures, challenges and setbacks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Sustained track record of successful teaching at sixth form level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in more than one school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successfully leading on whole-school improvement initiatives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dealing successfully with challenging colleagues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successfully organising large-scale and complex school events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successfully introducing vocational learning opportunities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Expert classroom teaching skills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Highly effective written and oral communication skills for a range of audiences and purposes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interpersonal skills to engage, motivate and enrol a diverse range of student and adult personalities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Strong analytical intelligence and strategic planning capability, balancing ‘big picture thinking’ with attention to detail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capacity to successfully hold others to account with high levels of support and challenge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levels of personal organisation and effectiveness through the efficient management of time and energy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Competency and fluency in using IT for a wide range of uses including data analysis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Advanced skills in using new technologies to enhance learning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Attitudes and Values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contextualSpacing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deep commitment to social justice  and working with young people to enhance their lives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deep commitment to the school values of Everyone Learning and Everyone Caring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Growth Mindset orientation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 ethic of continually striving for personal and organisational excellence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commitment to team working and willingness to sacrifice the achievement of personal goals for the achievement of collective 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commitment to research, reading and evidence-based school improvement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Other qualities and attributes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Honesty and integrity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Reliability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Loyalty and trustworthiness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Flexibility and adaptability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Grit, determination and resilience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Eternal optimism and positivity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Humour and a sense of perspective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Creativity, innovation and a willingness to take risks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Self-awareness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Common-sense and good judgement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Compassion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Tim Martin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January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566.9291338582677" w:top="566.9291338582677" w:left="850.3937007874016" w:right="566.929133858267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