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199" w:lineRule="auto"/>
        <w:rPr>
          <w:rFonts w:ascii="Avenir" w:cs="Avenir" w:eastAsia="Avenir" w:hAnsi="Avenir"/>
          <w:color w:val="10226a"/>
        </w:rPr>
      </w:pPr>
      <w:r w:rsidDel="00000000" w:rsidR="00000000" w:rsidRPr="00000000">
        <w:rPr>
          <w:rFonts w:ascii="Avenir" w:cs="Avenir" w:eastAsia="Avenir" w:hAnsi="Avenir"/>
          <w:color w:val="10226a"/>
          <w:rtl w:val="0"/>
        </w:rPr>
        <w:t xml:space="preserve">REHABILITATION OF OFFENDERS ACT 1974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199" w:lineRule="auto"/>
        <w:rPr>
          <w:rFonts w:ascii="Avenir" w:cs="Avenir" w:eastAsia="Avenir" w:hAnsi="Avenir"/>
          <w:color w:val="10226a"/>
        </w:rPr>
      </w:pPr>
      <w:r w:rsidDel="00000000" w:rsidR="00000000" w:rsidRPr="00000000">
        <w:rPr>
          <w:rtl w:val="0"/>
        </w:rPr>
      </w:r>
    </w:p>
    <w:tbl>
      <w:tblPr>
        <w:tblStyle w:val="Table1"/>
        <w:tblW w:w="100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73"/>
        <w:tblGridChange w:id="0">
          <w:tblGrid>
            <w:gridCol w:w="10073"/>
          </w:tblGrid>
        </w:tblGridChange>
      </w:tblGrid>
      <w:tr>
        <w:trPr>
          <w:cantSplit w:val="0"/>
          <w:trHeight w:val="13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5" w:lineRule="auto"/>
              <w:ind w:right="427"/>
              <w:rPr/>
            </w:pPr>
            <w:r w:rsidDel="00000000" w:rsidR="00000000" w:rsidRPr="00000000">
              <w:rPr>
                <w:rFonts w:ascii="Avenir" w:cs="Avenir" w:eastAsia="Avenir" w:hAnsi="Avenir"/>
                <w:color w:val="000000"/>
                <w:rtl w:val="0"/>
              </w:rPr>
              <w:t xml:space="preserve">Any unspent convictions, cautions, reprimands or warnings that are not ‘protected’ as defined by the Rehabilitation of Offenders Act 1974? (please tick) YES </w:t>
            </w:r>
            <w:r w:rsidDel="00000000" w:rsidR="00000000" w:rsidRPr="00000000">
              <w:rPr>
                <w:color w:val="000000"/>
                <w:rtl w:val="0"/>
              </w:rPr>
              <w:t xml:space="preserve">☐ </w:t>
            </w:r>
            <w:r w:rsidDel="00000000" w:rsidR="00000000" w:rsidRPr="00000000">
              <w:rPr>
                <w:rFonts w:ascii="Avenir" w:cs="Avenir" w:eastAsia="Avenir" w:hAnsi="Avenir"/>
                <w:color w:val="000000"/>
                <w:rtl w:val="0"/>
              </w:rPr>
              <w:t xml:space="preserve">NO </w:t>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5" w:lineRule="auto"/>
              <w:ind w:right="427"/>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5" w:lineRule="auto"/>
              <w:ind w:right="427"/>
              <w:rPr>
                <w:rFonts w:ascii="Avenir" w:cs="Avenir" w:eastAsia="Avenir" w:hAnsi="Avenir"/>
                <w:color w:val="000000"/>
              </w:rPr>
            </w:pPr>
            <w:r w:rsidDel="00000000" w:rsidR="00000000" w:rsidRPr="00000000">
              <w:rPr>
                <w:rFonts w:ascii="Avenir" w:cs="Avenir" w:eastAsia="Avenir" w:hAnsi="Avenir"/>
                <w:color w:val="000000"/>
                <w:rtl w:val="0"/>
              </w:rPr>
              <w:t xml:space="preserve">Do you have any adult cautions (simple or conditional) or spent convictions that are not protected as defined by the Rehabilitation of Offenders Act 1974 (Exceptions) Order 1975 (Amendment) (England and Wales) Order 2020?</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color w:val="000000"/>
                <w:rtl w:val="0"/>
              </w:rPr>
              <w:t xml:space="preserve">(please tick) YES </w:t>
            </w:r>
            <w:r w:rsidDel="00000000" w:rsidR="00000000" w:rsidRPr="00000000">
              <w:rPr>
                <w:color w:val="000000"/>
                <w:rtl w:val="0"/>
              </w:rPr>
              <w:t xml:space="preserve">☐ </w:t>
            </w:r>
            <w:r w:rsidDel="00000000" w:rsidR="00000000" w:rsidRPr="00000000">
              <w:rPr>
                <w:rFonts w:ascii="Avenir" w:cs="Avenir" w:eastAsia="Avenir" w:hAnsi="Avenir"/>
                <w:color w:val="000000"/>
                <w:rtl w:val="0"/>
              </w:rPr>
              <w:t xml:space="preserve">NO</w:t>
            </w:r>
            <w:sdt>
              <w:sdtPr>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Avenir" w:cs="Avenir" w:eastAsia="Avenir" w:hAnsi="Avenir"/>
                <w:rtl w:val="0"/>
              </w:rPr>
              <w:t xml:space="preserve"> </w:t>
            </w:r>
            <w:r w:rsidDel="00000000" w:rsidR="00000000" w:rsidRPr="00000000">
              <w:rPr>
                <w:rFonts w:ascii="Avenir" w:cs="Avenir" w:eastAsia="Avenir" w:hAnsi="Avenir"/>
                <w:color w:val="000000"/>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28" w:line="240" w:lineRule="auto"/>
              <w:rPr/>
            </w:pPr>
            <w:r w:rsidDel="00000000" w:rsidR="00000000" w:rsidRPr="00000000">
              <w:rPr>
                <w:rFonts w:ascii="Avenir" w:cs="Avenir" w:eastAsia="Avenir" w:hAnsi="Avenir"/>
                <w:color w:val="000000"/>
                <w:rtl w:val="0"/>
              </w:rPr>
              <w:t xml:space="preserve">Have you ever been convicted of a relevant criminal offence? (please tick) YES </w:t>
            </w:r>
            <w:r w:rsidDel="00000000" w:rsidR="00000000" w:rsidRPr="00000000">
              <w:rPr>
                <w:color w:val="000000"/>
                <w:rtl w:val="0"/>
              </w:rPr>
              <w:t xml:space="preserve">☐ </w:t>
            </w:r>
            <w:r w:rsidDel="00000000" w:rsidR="00000000" w:rsidRPr="00000000">
              <w:rPr>
                <w:rFonts w:ascii="Avenir" w:cs="Avenir" w:eastAsia="Avenir" w:hAnsi="Avenir"/>
                <w:color w:val="000000"/>
                <w:rtl w:val="0"/>
              </w:rPr>
              <w:t xml:space="preserve">NO </w:t>
            </w:r>
            <w:sdt>
              <w:sdtPr>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r>
          </w:p>
          <w:p w:rsidR="00000000" w:rsidDel="00000000" w:rsidP="00000000" w:rsidRDefault="00000000" w:rsidRPr="00000000" w14:paraId="00000007">
            <w:pPr>
              <w:spacing w:before="120" w:lineRule="auto"/>
              <w:jc w:val="both"/>
              <w:rPr>
                <w:rFonts w:ascii="Avenir" w:cs="Avenir" w:eastAsia="Avenir" w:hAnsi="Avenir"/>
                <w:color w:val="000000"/>
              </w:rPr>
            </w:pPr>
            <w:r w:rsidDel="00000000" w:rsidR="00000000" w:rsidRPr="00000000">
              <w:rPr>
                <w:rFonts w:ascii="Avenir" w:cs="Avenir" w:eastAsia="Avenir" w:hAnsi="Avenir"/>
                <w:color w:val="000000"/>
                <w:rtl w:val="0"/>
              </w:rPr>
              <w:t xml:space="preserve">The amendments to the Rehabilitation of Offenders Act 1974 (Exceptions) Order 1975 (2013 and 2020)</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color w:val="000000"/>
                <w:rtl w:val="0"/>
              </w:rPr>
              <w:t xml:space="preserve">provides that when applying for certain jobs and activities, certain convictions and cautions are considered ‘protected’. This means that they do not need to be disclosed to employers, and if they are disclosed, employers   cannot take them into account.</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128" w:line="240" w:lineRule="auto"/>
              <w:rPr>
                <w:color w:val="000000"/>
              </w:rPr>
            </w:pPr>
            <w:r w:rsidDel="00000000" w:rsidR="00000000" w:rsidRPr="00000000">
              <w:rPr>
                <w:rFonts w:ascii="Avenir" w:cs="Avenir" w:eastAsia="Avenir" w:hAnsi="Avenir"/>
                <w:color w:val="000000"/>
                <w:rtl w:val="0"/>
              </w:rPr>
              <w:t xml:space="preserve">Guidance about whether a conviction or caution should be disclosed can be found on the Ministry of Justice   website.</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28" w:line="240" w:lineRule="auto"/>
              <w:rPr>
                <w:color w:val="000000"/>
              </w:rPr>
            </w:pPr>
            <w:r w:rsidDel="00000000" w:rsidR="00000000" w:rsidRPr="00000000">
              <w:rPr>
                <w:rFonts w:ascii="Avenir" w:cs="Avenir" w:eastAsia="Avenir" w:hAnsi="Avenir"/>
                <w:color w:val="000000"/>
                <w:rtl w:val="0"/>
              </w:rPr>
              <w:t xml:space="preserve">If YES, please attach details in a sealed envelope marked ‘Confidential’ addressed to the Principal  </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28" w:line="240" w:lineRule="auto"/>
              <w:rPr>
                <w:color w:val="000000"/>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5" w:lineRule="auto"/>
              <w:ind w:left="114" w:right="271" w:hanging="15"/>
              <w:rPr>
                <w:rFonts w:ascii="Avenir" w:cs="Avenir" w:eastAsia="Avenir" w:hAnsi="Avenir"/>
                <w:color w:val="000000"/>
              </w:rPr>
            </w:pPr>
            <w:r w:rsidDel="00000000" w:rsidR="00000000" w:rsidRPr="00000000">
              <w:rPr>
                <w:rFonts w:ascii="Avenir" w:cs="Avenir" w:eastAsia="Avenir" w:hAnsi="Avenir"/>
                <w:color w:val="000000"/>
                <w:rtl w:val="0"/>
              </w:rPr>
              <w:t xml:space="preserve">A new Enhanced Level Disclosure and Barring Service (DBS) check of criminal records will normally be required for this post. Access to the application process will be provided. Subscription to the DBS Update Service may be a condition of employment.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68" w:line="245" w:lineRule="auto"/>
              <w:ind w:left="109" w:right="63" w:firstLine="0"/>
              <w:rPr>
                <w:rFonts w:ascii="Avenir" w:cs="Avenir" w:eastAsia="Avenir" w:hAnsi="Avenir"/>
                <w:color w:val="000000"/>
              </w:rPr>
            </w:pPr>
            <w:r w:rsidDel="00000000" w:rsidR="00000000" w:rsidRPr="00000000">
              <w:rPr>
                <w:rFonts w:ascii="Avenir" w:cs="Avenir" w:eastAsia="Avenir" w:hAnsi="Avenir"/>
                <w:color w:val="000000"/>
                <w:rtl w:val="0"/>
              </w:rPr>
              <w:t xml:space="preserve">Other standard checks before your employment commences include accessing lists of 'Teachers and Others' prohibited from the profession; GTC sanctions; Secretary of State directions; Induction and Probation Failures; and sanctions imposed by EEA authorities and by teacher regulation authorities overseas.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48" w:line="354" w:lineRule="auto"/>
              <w:ind w:left="120" w:right="332" w:hanging="1.999999999999993"/>
              <w:rPr>
                <w:color w:val="000000"/>
              </w:rPr>
            </w:pPr>
            <w:r w:rsidDel="00000000" w:rsidR="00000000" w:rsidRPr="00000000">
              <w:rPr>
                <w:rFonts w:ascii="Avenir" w:cs="Avenir" w:eastAsia="Avenir" w:hAnsi="Avenir"/>
                <w:color w:val="000000"/>
                <w:rtl w:val="0"/>
              </w:rPr>
              <w:t xml:space="preserve">Do you have an existing Enhanced level DBS? (please tick) YES </w:t>
            </w:r>
            <w:sdt>
              <w:sdtPr>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w:t>
            </w:r>
            <w:r w:rsidDel="00000000" w:rsidR="00000000" w:rsidRPr="00000000">
              <w:rPr>
                <w:rFonts w:ascii="Avenir" w:cs="Avenir" w:eastAsia="Avenir" w:hAnsi="Avenir"/>
                <w:color w:val="000000"/>
                <w:rtl w:val="0"/>
              </w:rPr>
              <w:t xml:space="preserve"> NO </w:t>
            </w:r>
            <w:sdt>
              <w:sdtPr>
                <w:tag w:val="goog_rdk_4"/>
              </w:sdtPr>
              <w:sdtContent>
                <w:r w:rsidDel="00000000" w:rsidR="00000000" w:rsidRPr="00000000">
                  <w:rPr>
                    <w:rFonts w:ascii="Arial Unicode MS" w:cs="Arial Unicode MS" w:eastAsia="Arial Unicode MS" w:hAnsi="Arial Unicode MS"/>
                    <w:color w:val="000000"/>
                    <w:rtl w:val="0"/>
                  </w:rPr>
                  <w:t xml:space="preserve">☐</w:t>
                </w:r>
              </w:sdtContent>
            </w:sdt>
            <w:r w:rsidDel="00000000" w:rsidR="00000000" w:rsidRPr="00000000">
              <w:rPr>
                <w:color w:val="000000"/>
                <w:rtl w:val="0"/>
              </w:rPr>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28" w:line="240" w:lineRule="auto"/>
              <w:rPr>
                <w:rFonts w:ascii="Avenir" w:cs="Avenir" w:eastAsia="Avenir" w:hAnsi="Avenir"/>
                <w:color w:val="000000"/>
              </w:rPr>
            </w:pPr>
            <w:r w:rsidDel="00000000" w:rsidR="00000000" w:rsidRPr="00000000">
              <w:rPr>
                <w:rFonts w:ascii="Avenir" w:cs="Avenir" w:eastAsia="Avenir" w:hAnsi="Avenir"/>
                <w:color w:val="000000"/>
                <w:rtl w:val="0"/>
              </w:rPr>
              <w:t xml:space="preserve">Issue date (if known):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28" w:line="240" w:lineRule="auto"/>
              <w:rPr>
                <w:rFonts w:ascii="Avenir" w:cs="Avenir" w:eastAsia="Avenir" w:hAnsi="Avenir"/>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28" w:line="240" w:lineRule="auto"/>
              <w:rPr>
                <w:color w:val="000000"/>
              </w:rPr>
            </w:pPr>
            <w:r w:rsidDel="00000000" w:rsidR="00000000" w:rsidRPr="00000000">
              <w:rPr>
                <w:rFonts w:ascii="Avenir" w:cs="Avenir" w:eastAsia="Avenir" w:hAnsi="Avenir"/>
                <w:rtl w:val="0"/>
              </w:rPr>
              <w:t xml:space="preserve">Name:                                                                 Date: </w:t>
            </w: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sectPr>
      <w:headerReference r:id="rId7" w:type="default"/>
      <w:footerReference r:id="rId8" w:type="default"/>
      <w:pgSz w:h="16834" w:w="11909" w:orient="portrait"/>
      <w:pgMar w:bottom="1440" w:top="1559" w:left="708" w:right="11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spacing w:after="240" w:before="240" w:line="240" w:lineRule="auto"/>
      <w:ind w:right="-394" w:hanging="141"/>
      <w:jc w:val="center"/>
      <w:rPr/>
    </w:pPr>
    <w:r w:rsidDel="00000000" w:rsidR="00000000" w:rsidRPr="00000000">
      <w:rPr/>
      <w:drawing>
        <wp:inline distB="114300" distT="114300" distL="114300" distR="114300">
          <wp:extent cx="6936902" cy="127473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36902" cy="12747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drawing>
        <wp:inline distB="114300" distT="114300" distL="114300" distR="114300">
          <wp:extent cx="2050732" cy="1149117"/>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50732" cy="114911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NormalWeb">
    <w:name w:val="Normal (Web)"/>
    <w:basedOn w:val="Normal"/>
    <w:uiPriority w:val="99"/>
    <w:semiHidden w:val="1"/>
    <w:unhideWhenUsed w:val="1"/>
    <w:rsid w:val="0000655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3tCGXkVwrNEIpvbKgGuMFc8+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OAByITFybUVOOG9yVUxLZkNORHpPNGFhQ2JsTE1RMnZPelBEN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CEFC5DD6FAAC3469D8BEDDF01741456" ma:contentTypeVersion="17" ma:contentTypeDescription="Create a new document." ma:contentTypeScope="" ma:versionID="ab837b7006fae21fb985039cb056a7ba">
  <xsd:schema xmlns:xsd="http://www.w3.org/2001/XMLSchema" xmlns:xs="http://www.w3.org/2001/XMLSchema" xmlns:p="http://schemas.microsoft.com/office/2006/metadata/properties" xmlns:ns2="82f396d6-e838-4759-8036-8c4461b3554b" xmlns:ns3="bfe6050e-a832-486a-981e-50c3e0ae5369" targetNamespace="http://schemas.microsoft.com/office/2006/metadata/properties" ma:root="true" ma:fieldsID="7c0d009638a531a46a019357684047b2" ns2:_="" ns3:_="">
    <xsd:import namespace="82f396d6-e838-4759-8036-8c4461b3554b"/>
    <xsd:import namespace="bfe6050e-a832-486a-981e-50c3e0ae53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396d6-e838-4759-8036-8c4461b35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5f034-5cf0-422d-afbd-42471e3fe1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6050e-a832-486a-981e-50c3e0ae53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160484c-5527-40b5-bd39-e0e9b181252d}" ma:internalName="TaxCatchAll" ma:showField="CatchAllData" ma:web="bfe6050e-a832-486a-981e-50c3e0ae53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061C097-F706-4D67-BA27-2190EE899C8F}"/>
</file>

<file path=customXML/itemProps3.xml><?xml version="1.0" encoding="utf-8"?>
<ds:datastoreItem xmlns:ds="http://schemas.openxmlformats.org/officeDocument/2006/customXml" ds:itemID="{6D79AE8A-EF7B-4CB7-81E9-3234737B146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2023-01-31T13:23:00Z</dcterms:created>
  <dc:creator>Andrew Hammond</dc:creator>
</cp:coreProperties>
</file>