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pPr>
              <w:rPr>
                <w:rFonts w:ascii="Arial" w:hAnsi="Arial" w:cs="Arial"/>
              </w:rPr>
            </w:pPr>
          </w:p>
        </w:tc>
        <w:tc>
          <w:tcPr>
            <w:tcW w:w="2775" w:type="dxa"/>
            <w:gridSpan w:val="14"/>
          </w:tcPr>
          <w:p>
            <w:pPr>
              <w:rPr>
                <w:rFonts w:ascii="Arial" w:hAnsi="Arial" w:cs="Arial"/>
                <w:b/>
              </w:rPr>
            </w:pPr>
            <w:r>
              <w:rPr>
                <w:rFonts w:ascii="Arial" w:hAnsi="Arial" w:cs="Arial"/>
                <w:b/>
              </w:rPr>
              <w:t>Closing Date: Tuesday</w:t>
            </w:r>
          </w:p>
          <w:p>
            <w:pPr>
              <w:rPr>
                <w:rFonts w:ascii="Arial" w:hAnsi="Arial" w:cs="Arial"/>
                <w:b/>
              </w:rPr>
            </w:pPr>
            <w:r>
              <w:rPr>
                <w:rFonts w:ascii="Arial" w:hAnsi="Arial" w:cs="Arial"/>
                <w:b/>
              </w:rPr>
              <w:t>15 October 2019 2:30pm</w:t>
            </w: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English and/or Film Studies</w:t>
            </w:r>
          </w:p>
          <w:p>
            <w:pPr>
              <w:rPr>
                <w:rFonts w:ascii="Arial" w:hAnsi="Arial" w:cs="Arial"/>
                <w:b/>
                <w:sz w:val="24"/>
                <w:szCs w:val="24"/>
              </w:rPr>
            </w:pPr>
            <w:r>
              <w:rPr>
                <w:rFonts w:ascii="Arial" w:hAnsi="Arial" w:cs="Arial"/>
                <w:b/>
                <w:sz w:val="24"/>
                <w:szCs w:val="24"/>
              </w:rPr>
              <w:t>Grade: MPR / UPR</w:t>
            </w:r>
          </w:p>
          <w:p>
            <w:pPr>
              <w:rPr>
                <w:rFonts w:ascii="Arial" w:hAnsi="Arial" w:cs="Arial"/>
              </w:rPr>
            </w:pPr>
            <w:r>
              <w:rPr>
                <w:rFonts w:ascii="Arial" w:hAnsi="Arial" w:cs="Arial"/>
                <w:b/>
                <w:sz w:val="24"/>
                <w:szCs w:val="24"/>
              </w:rPr>
              <w:t>Academy/College: Elliott Hudson College</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lastRenderedPageBreak/>
              <w:t>Your referees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for which you are applying.  </w:t>
            </w:r>
            <w:r>
              <w:rPr>
                <w:rStyle w:val="Emphasis"/>
                <w:rFonts w:ascii="Arial" w:hAnsi="Arial" w:cs="Arial"/>
                <w:b/>
                <w:color w:val="000000"/>
                <w:lang w:val="en-US"/>
              </w:rPr>
              <w:t>Supporting statements should be no longer than 2 sides of standard font on A4 paper and should address the following:</w:t>
            </w:r>
            <w:r>
              <w:rPr>
                <w:rFonts w:ascii="Arial" w:hAnsi="Arial" w:cs="Arial"/>
                <w:lang w:val="en-US"/>
              </w:rPr>
              <w:t xml:space="preserve"> </w:t>
            </w:r>
            <w:r>
              <w:rPr>
                <w:rFonts w:ascii="Arial" w:eastAsia="Calibri" w:hAnsi="Arial" w:cs="Times New Roman"/>
                <w:b/>
                <w:lang w:val="en-US"/>
              </w:rPr>
              <w:t xml:space="preserve">1. Why I want to teach </w:t>
            </w:r>
            <w:r>
              <w:rPr>
                <w:rFonts w:ascii="Arial" w:eastAsia="Calibri" w:hAnsi="Arial" w:cs="Times New Roman"/>
                <w:b/>
                <w:lang w:val="en-US"/>
              </w:rPr>
              <w:t>English / Film</w:t>
            </w:r>
            <w:r>
              <w:rPr>
                <w:rFonts w:ascii="Arial" w:eastAsia="Calibri" w:hAnsi="Arial" w:cs="Times New Roman"/>
                <w:b/>
                <w:lang w:val="en-US"/>
              </w:rPr>
              <w:t xml:space="preserve"> </w:t>
            </w:r>
            <w:r>
              <w:rPr>
                <w:rFonts w:ascii="Arial" w:eastAsia="Calibri" w:hAnsi="Arial" w:cs="Times New Roman"/>
                <w:b/>
                <w:lang w:val="en-US"/>
              </w:rPr>
              <w:t xml:space="preserve">Studies </w:t>
            </w:r>
            <w:r>
              <w:rPr>
                <w:rFonts w:ascii="Arial" w:eastAsia="Calibri" w:hAnsi="Arial" w:cs="Times New Roman"/>
                <w:b/>
                <w:lang w:val="en-US"/>
              </w:rPr>
              <w:t>at Elliott Hudson College and 2. Why culture matters in a Sixth Form College.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bookmarkStart w:id="0" w:name="_GoBack"/>
            <w:bookmarkEnd w:id="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rPr>
            </w:pPr>
          </w:p>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Fonts w:ascii="Calibri" w:hAnsi="Calibri" w:cs="Calibri"/>
                <w:color w:val="000000"/>
              </w:rPr>
            </w:pPr>
            <w:r>
              <w:rPr>
                <w:rFonts w:ascii="Arial" w:hAnsi="Arial" w:cs="Arial"/>
                <w:sz w:val="20"/>
                <w:szCs w:val="20"/>
              </w:rPr>
              <w:t xml:space="preserve">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 </w:t>
            </w:r>
            <w:hyperlink r:id="rId9" w:history="1">
              <w:r>
                <w:rPr>
                  <w:color w:val="0000FF"/>
                  <w:u w:val="single"/>
                </w:rPr>
                <w:t>https://hub.unlock.org.uk/knowledgebase/what-will-be-filtered-by-dbs/</w:t>
              </w:r>
            </w:hyperlink>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pPr>
              <w:rPr>
                <w:rFonts w:ascii="Arial" w:hAnsi="Arial" w:cs="Arial"/>
              </w:rPr>
            </w:pPr>
          </w:p>
          <w:p>
            <w:pPr>
              <w:jc w:val="both"/>
              <w:rPr>
                <w:rFonts w:ascii="Arial" w:hAnsi="Arial" w:cs="Arial"/>
              </w:rPr>
            </w:pPr>
          </w:p>
        </w:tc>
      </w:tr>
      <w:tr>
        <w:tc>
          <w:tcPr>
            <w:tcW w:w="10920" w:type="dxa"/>
            <w:gridSpan w:val="44"/>
          </w:tcPr>
          <w:p>
            <w:pPr>
              <w:rPr>
                <w:rFonts w:ascii="Arial" w:hAnsi="Arial" w:cs="Arial"/>
                <w:b/>
              </w:rPr>
            </w:pPr>
            <w:r>
              <w:rPr>
                <w:rFonts w:ascii="Arial" w:hAnsi="Arial" w:cs="Arial"/>
                <w:b/>
              </w:rPr>
              <w:t xml:space="preserve">Data Protection Act 1998 and General Data Protection Regulations (GDPR) </w:t>
            </w:r>
          </w:p>
          <w:p>
            <w:pPr>
              <w:rPr>
                <w:rFonts w:ascii="Arial" w:hAnsi="Arial" w:cs="Arial"/>
                <w:b/>
              </w:rPr>
            </w:pP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Single Equality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jc w:val="both"/>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and the Data Protection Act 1998 AND GDPR</w:t>
            </w:r>
          </w:p>
          <w:p>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rPr>
            </w:pPr>
          </w:p>
          <w:p>
            <w:pPr>
              <w:jc w:val="both"/>
              <w:rPr>
                <w:rFonts w:ascii="Arial" w:hAnsi="Arial" w:cs="Arial"/>
              </w:rPr>
            </w:pPr>
            <w:r>
              <w:rPr>
                <w:rFonts w:ascii="Arial" w:hAnsi="Arial" w:cs="Arial"/>
              </w:rPr>
              <w:t>.</w:t>
            </w:r>
          </w:p>
          <w:p>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pPr>
              <w:jc w:val="both"/>
              <w:rPr>
                <w:rFonts w:ascii="Arial" w:hAnsi="Arial" w:cs="Arial"/>
              </w:rPr>
            </w:pPr>
          </w:p>
          <w:p>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pPr>
              <w:pStyle w:val="ListParagraph"/>
              <w:numPr>
                <w:ilvl w:val="0"/>
                <w:numId w:val="7"/>
              </w:numPr>
              <w:spacing w:after="200" w:line="276" w:lineRule="auto"/>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page is blank to ensure that the equality monitoring documentation remains detached from the application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 xml:space="preserve">EQUALITY MONITORING </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p>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pPr>
              <w:rPr>
                <w:rFonts w:ascii="Arial" w:hAnsi="Arial" w:cs="Arial"/>
                <w:sz w:val="24"/>
                <w:szCs w:val="24"/>
              </w:rPr>
            </w:pPr>
            <w:r>
              <w:rPr>
                <w:rFonts w:ascii="Arial" w:hAnsi="Arial" w:cs="Arial"/>
                <w:sz w:val="24"/>
                <w:szCs w:val="24"/>
              </w:rPr>
              <w:t>Heterosexual – Someone who is attracted, emotionally and or physically, to persons of the opposite sex.</w: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unlock.org.uk/knowledgebase/what-will-be-filtered-by-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49BD-836D-4A1F-B115-527124FD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9D291AA4.dotm</Template>
  <TotalTime>4</TotalTime>
  <Pages>8</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3</cp:revision>
  <cp:lastPrinted>2018-12-07T13:47:00Z</cp:lastPrinted>
  <dcterms:created xsi:type="dcterms:W3CDTF">2019-10-01T09:01:00Z</dcterms:created>
  <dcterms:modified xsi:type="dcterms:W3CDTF">2019-10-01T09:05:00Z</dcterms:modified>
</cp:coreProperties>
</file>