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1440" w:right="0" w:hanging="14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 specification </w:t>
      </w:r>
      <w:r w:rsidDel="00000000" w:rsidR="00000000" w:rsidRPr="00000000">
        <w:rPr>
          <w:rFonts w:ascii="Calibri" w:cs="Calibri" w:eastAsia="Calibri" w:hAnsi="Calibri"/>
          <w:b w:val="1"/>
          <w:rtl w:val="0"/>
        </w:rPr>
        <w:t xml:space="preserve">for School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Office and Administration Manager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5"/>
        <w:gridCol w:w="1140"/>
        <w:gridCol w:w="1185"/>
        <w:tblGridChange w:id="0">
          <w:tblGrid>
            <w:gridCol w:w="8475"/>
            <w:gridCol w:w="1140"/>
            <w:gridCol w:w="1185"/>
          </w:tblGrid>
        </w:tblGridChange>
      </w:tblGrid>
      <w:tr>
        <w:trPr>
          <w:cantSplit w:val="0"/>
          <w:trHeight w:val="270" w:hRule="atLeast"/>
          <w:tblHeader w:val="0"/>
        </w:trPr>
        <w:tc>
          <w:tcPr>
            <w:tcBorders>
              <w:top w:color="000000" w:space="0" w:sz="0" w:val="nil"/>
              <w:lef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Qualifications and Experience:</w:t>
            </w:r>
            <w:r w:rsidDel="00000000" w:rsidR="00000000" w:rsidRPr="00000000">
              <w:rPr>
                <w:rtl w:val="0"/>
              </w:rPr>
            </w:r>
          </w:p>
        </w:tc>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Essential</w:t>
            </w:r>
            <w:r w:rsidDel="00000000" w:rsidR="00000000" w:rsidRPr="00000000">
              <w:rPr>
                <w:rtl w:val="0"/>
              </w:rPr>
            </w:r>
          </w:p>
        </w:tc>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Desirable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Office administration experience</w:t>
            </w:r>
          </w:p>
        </w:tc>
        <w:tc>
          <w:tcP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Experience of working in schools </w:t>
            </w:r>
          </w:p>
        </w:tc>
        <w:tc>
          <w:tcPr>
            <w:vAlign w:val="center"/>
          </w:tcPr>
          <w:p w:rsidR="00000000" w:rsidDel="00000000" w:rsidP="00000000" w:rsidRDefault="00000000" w:rsidRPr="00000000" w14:paraId="0000000B">
            <w:pPr>
              <w:jc w:val="center"/>
              <w:rPr>
                <w:rFonts w:ascii="Calibri" w:cs="Calibri" w:eastAsia="Calibri" w:hAnsi="Calibri"/>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numPr>
                <w:ilvl w:val="0"/>
                <w:numId w:val="1"/>
              </w:numPr>
              <w:ind w:left="360" w:hanging="360"/>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vertAlign w:val="baseline"/>
                <w:rtl w:val="0"/>
              </w:rPr>
              <w:t xml:space="preserve">Team supervision or management</w:t>
            </w:r>
          </w:p>
        </w:tc>
        <w:tc>
          <w:tcPr>
            <w:vAlign w:val="center"/>
          </w:tcPr>
          <w:p w:rsidR="00000000" w:rsidDel="00000000" w:rsidP="00000000" w:rsidRDefault="00000000" w:rsidRPr="00000000" w14:paraId="0000000E">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 w:hRule="atLeast"/>
          <w:tblHeader w:val="0"/>
        </w:trPr>
        <w:tc>
          <w:tcPr>
            <w:vAlign w:val="top"/>
          </w:tcPr>
          <w:p w:rsidR="00000000" w:rsidDel="00000000" w:rsidP="00000000" w:rsidRDefault="00000000" w:rsidRPr="00000000" w14:paraId="00000010">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Experience of using </w:t>
            </w:r>
            <w:r w:rsidDel="00000000" w:rsidR="00000000" w:rsidRPr="00000000">
              <w:rPr>
                <w:rFonts w:ascii="Calibri" w:cs="Calibri" w:eastAsia="Calibri" w:hAnsi="Calibri"/>
                <w:sz w:val="22"/>
                <w:szCs w:val="22"/>
                <w:rtl w:val="0"/>
              </w:rPr>
              <w:t xml:space="preserve">Arbor</w:t>
            </w:r>
            <w:r w:rsidDel="00000000" w:rsidR="00000000" w:rsidRPr="00000000">
              <w:rPr>
                <w:rFonts w:ascii="Calibri" w:cs="Calibri" w:eastAsia="Calibri" w:hAnsi="Calibri"/>
                <w:sz w:val="22"/>
                <w:szCs w:val="22"/>
                <w:vertAlign w:val="baseline"/>
                <w:rtl w:val="0"/>
              </w:rPr>
              <w:t xml:space="preserve"> (training available if required)</w:t>
            </w:r>
          </w:p>
        </w:tc>
        <w:tc>
          <w:tcPr>
            <w:vAlign w:val="center"/>
          </w:tcPr>
          <w:p w:rsidR="00000000" w:rsidDel="00000000" w:rsidP="00000000" w:rsidRDefault="00000000" w:rsidRPr="00000000" w14:paraId="00000011">
            <w:pPr>
              <w:jc w:val="center"/>
              <w:rPr>
                <w:rFonts w:ascii="Calibri" w:cs="Calibri" w:eastAsia="Calibri" w:hAnsi="Calibri"/>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Current first aid at work qualification (or equivalent) (training available if required)</w:t>
            </w:r>
          </w:p>
        </w:tc>
        <w:tc>
          <w:tcPr>
            <w:vAlign w:val="center"/>
          </w:tcPr>
          <w:p w:rsidR="00000000" w:rsidDel="00000000" w:rsidP="00000000" w:rsidRDefault="00000000" w:rsidRPr="00000000" w14:paraId="00000014">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5">
            <w:pPr>
              <w:jc w:val="center"/>
              <w:rPr>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6">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The equivalent of 5 or more GCSEs (including English and maths)</w:t>
            </w:r>
          </w:p>
        </w:tc>
        <w:tc>
          <w:tcPr>
            <w:vAlign w:val="center"/>
          </w:tcPr>
          <w:p w:rsidR="00000000" w:rsidDel="00000000" w:rsidP="00000000" w:rsidRDefault="00000000" w:rsidRPr="00000000" w14:paraId="00000017">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8">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numPr>
                <w:ilvl w:val="0"/>
                <w:numId w:val="1"/>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Educated to at least A Level or equivalent relevant experience</w:t>
            </w:r>
            <w:r w:rsidDel="00000000" w:rsidR="00000000" w:rsidRPr="00000000">
              <w:rPr>
                <w:rtl w:val="0"/>
              </w:rPr>
            </w:r>
          </w:p>
        </w:tc>
        <w:tc>
          <w:tcPr>
            <w:vAlign w:val="center"/>
          </w:tcPr>
          <w:p w:rsidR="00000000" w:rsidDel="00000000" w:rsidP="00000000" w:rsidRDefault="00000000" w:rsidRPr="00000000" w14:paraId="0000001A">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vAlign w:val="top"/>
          </w:tcPr>
          <w:p w:rsidR="00000000" w:rsidDel="00000000" w:rsidP="00000000" w:rsidRDefault="00000000" w:rsidRPr="00000000" w14:paraId="0000001B">
            <w:pPr>
              <w:jc w:val="center"/>
              <w:rPr>
                <w:rFonts w:ascii="Wingdings" w:cs="Wingdings" w:eastAsia="Wingdings" w:hAnsi="Wingdings"/>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numPr>
                <w:ilvl w:val="0"/>
                <w:numId w:val="1"/>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of working effectively with children, young people and families </w:t>
            </w:r>
            <w:r w:rsidDel="00000000" w:rsidR="00000000" w:rsidRPr="00000000">
              <w:rPr>
                <w:rtl w:val="0"/>
              </w:rPr>
            </w:r>
          </w:p>
        </w:tc>
        <w:tc>
          <w:tcPr>
            <w:vAlign w:val="center"/>
          </w:tcPr>
          <w:p w:rsidR="00000000" w:rsidDel="00000000" w:rsidP="00000000" w:rsidRDefault="00000000" w:rsidRPr="00000000" w14:paraId="0000001D">
            <w:pPr>
              <w:jc w:val="center"/>
              <w:rPr>
                <w:rFonts w:ascii="Calibri" w:cs="Calibri" w:eastAsia="Calibri" w:hAnsi="Calibri"/>
                <w:sz w:val="22"/>
                <w:szCs w:val="22"/>
                <w:vertAlign w:val="baseline"/>
              </w:rPr>
            </w:pPr>
            <w:r w:rsidDel="00000000" w:rsidR="00000000" w:rsidRPr="00000000">
              <w:rPr>
                <w:rtl w:val="0"/>
              </w:rPr>
            </w:r>
          </w:p>
        </w:tc>
        <w:tc>
          <w:tcPr>
            <w:vAlign w:val="top"/>
          </w:tcPr>
          <w:p w:rsidR="00000000" w:rsidDel="00000000" w:rsidP="00000000" w:rsidRDefault="00000000" w:rsidRPr="00000000" w14:paraId="0000001E">
            <w:pPr>
              <w:jc w:val="center"/>
              <w:rPr>
                <w:rFonts w:ascii="Wingdings" w:cs="Wingdings" w:eastAsia="Wingdings" w:hAnsi="Wingdings"/>
                <w:sz w:val="22"/>
                <w:szCs w:val="22"/>
                <w:vertAlign w:val="baseline"/>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1440" w:right="0" w:hanging="14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0"/>
        <w:gridCol w:w="1095"/>
        <w:gridCol w:w="1215"/>
        <w:tblGridChange w:id="0">
          <w:tblGrid>
            <w:gridCol w:w="8490"/>
            <w:gridCol w:w="1095"/>
            <w:gridCol w:w="1215"/>
          </w:tblGrid>
        </w:tblGridChange>
      </w:tblGrid>
      <w:tr>
        <w:trPr>
          <w:cantSplit w:val="0"/>
          <w:tblHeader w:val="0"/>
        </w:trPr>
        <w:tc>
          <w:tcPr>
            <w:tcBorders>
              <w:top w:color="000000" w:space="0" w:sz="0" w:val="nil"/>
              <w:left w:color="000000" w:space="0" w:sz="0" w:val="nil"/>
            </w:tcBorders>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Professional knowledge and understanding, skills and attributes:</w:t>
            </w: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Essential</w:t>
            </w: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Desirable</w:t>
            </w:r>
            <w:r w:rsidDel="00000000" w:rsidR="00000000" w:rsidRPr="00000000">
              <w:rPr>
                <w:rtl w:val="0"/>
              </w:rPr>
            </w:r>
          </w:p>
        </w:tc>
      </w:tr>
      <w:tr>
        <w:trPr>
          <w:cantSplit w:val="0"/>
          <w:trHeight w:val="369" w:hRule="atLeast"/>
          <w:tblHeader w:val="0"/>
        </w:trPr>
        <w:tc>
          <w:tcPr>
            <w:vAlign w:val="top"/>
          </w:tcPr>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high level of ICT skills using a variety of software packages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MS Office and Google</w:t>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achieve challenging professional targets/objectives</w:t>
            </w:r>
          </w:p>
        </w:tc>
        <w:tc>
          <w:tcP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ability to develop and implement policy and practice which reflects the school’s commitment to high achievement</w:t>
            </w:r>
          </w:p>
        </w:tc>
        <w:tc>
          <w:tcPr>
            <w:vAlign w:val="center"/>
          </w:tcPr>
          <w:p w:rsidR="00000000" w:rsidDel="00000000" w:rsidP="00000000" w:rsidRDefault="00000000" w:rsidRPr="00000000" w14:paraId="0000002A">
            <w:pPr>
              <w:tabs>
                <w:tab w:val="left" w:leader="none" w:pos="1440"/>
                <w:tab w:val="left" w:leader="none" w:pos="4320"/>
                <w:tab w:val="left" w:leader="none" w:pos="720"/>
              </w:tabs>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2B">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numPr>
                <w:ilvl w:val="0"/>
                <w:numId w:val="1"/>
              </w:numPr>
              <w:tabs>
                <w:tab w:val="left" w:leader="none" w:pos="1440"/>
                <w:tab w:val="left" w:leader="none" w:pos="4320"/>
              </w:tabs>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ability to use IT systems effectively to produce reports, record information and monitor outcomes</w:t>
            </w:r>
            <w:r w:rsidDel="00000000" w:rsidR="00000000" w:rsidRPr="00000000">
              <w:rPr>
                <w:rtl w:val="0"/>
              </w:rPr>
            </w:r>
          </w:p>
        </w:tc>
        <w:tc>
          <w:tcPr>
            <w:vAlign w:val="center"/>
          </w:tcPr>
          <w:p w:rsidR="00000000" w:rsidDel="00000000" w:rsidP="00000000" w:rsidRDefault="00000000" w:rsidRPr="00000000" w14:paraId="0000002D">
            <w:pPr>
              <w:tabs>
                <w:tab w:val="left" w:leader="none" w:pos="1440"/>
                <w:tab w:val="left" w:leader="none" w:pos="4320"/>
                <w:tab w:val="left" w:leader="none" w:pos="720"/>
              </w:tabs>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2E">
            <w:pPr>
              <w:jc w:val="center"/>
              <w:rPr>
                <w:rFonts w:ascii="Wingdings" w:cs="Wingdings" w:eastAsia="Wingdings" w:hAnsi="Wingdings"/>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set standards and provide a role model for students and other staff </w:t>
            </w:r>
          </w:p>
        </w:tc>
        <w:tc>
          <w:tcPr>
            <w:vAlign w:val="center"/>
          </w:tcPr>
          <w:p w:rsidR="00000000" w:rsidDel="00000000" w:rsidP="00000000" w:rsidRDefault="00000000" w:rsidRPr="00000000" w14:paraId="00000030">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31">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able to judge when to make a decision, when to consult and when to defer to a senior member of staff</w:t>
            </w:r>
          </w:p>
        </w:tc>
        <w:tc>
          <w:tcPr>
            <w:vAlign w:val="center"/>
          </w:tcPr>
          <w:p w:rsidR="00000000" w:rsidDel="00000000" w:rsidP="00000000" w:rsidRDefault="00000000" w:rsidRPr="00000000" w14:paraId="00000033">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34">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promote the ethos aims and objectives of the school to the wider community</w:t>
            </w:r>
          </w:p>
        </w:tc>
        <w:tc>
          <w:tcPr>
            <w:vAlign w:val="center"/>
          </w:tcPr>
          <w:p w:rsidR="00000000" w:rsidDel="00000000" w:rsidP="00000000" w:rsidRDefault="00000000" w:rsidRPr="00000000" w14:paraId="00000036">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37">
            <w:pPr>
              <w:jc w:val="center"/>
              <w:rPr>
                <w:rFonts w:ascii="Calibri" w:cs="Calibri" w:eastAsia="Calibri" w:hAnsi="Calibri"/>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ff0000"/>
                <w:sz w:val="22"/>
                <w:szCs w:val="22"/>
                <w:u w:val="none"/>
                <w:shd w:fill="auto" w:val="clear"/>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The ability to prioritise own time and others, work under pressure and to meet workload demands with a sense of balance and perspective</w:t>
            </w:r>
          </w:p>
        </w:tc>
        <w:tc>
          <w:tcPr>
            <w:vAlign w:val="center"/>
          </w:tcPr>
          <w:p w:rsidR="00000000" w:rsidDel="00000000" w:rsidP="00000000" w:rsidRDefault="00000000" w:rsidRPr="00000000" w14:paraId="00000039">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3A">
            <w:pPr>
              <w:jc w:val="center"/>
              <w:rPr>
                <w:rFonts w:ascii="Calibri" w:cs="Calibri" w:eastAsia="Calibri" w:hAnsi="Calibri"/>
                <w:sz w:val="22"/>
                <w:szCs w:val="22"/>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1440" w:right="0" w:hanging="144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78"/>
        <w:gridCol w:w="1094"/>
        <w:gridCol w:w="1156"/>
        <w:tblGridChange w:id="0">
          <w:tblGrid>
            <w:gridCol w:w="8478"/>
            <w:gridCol w:w="1094"/>
            <w:gridCol w:w="1156"/>
          </w:tblGrid>
        </w:tblGridChange>
      </w:tblGrid>
      <w:tr>
        <w:trPr>
          <w:cantSplit w:val="0"/>
          <w:tblHeader w:val="0"/>
        </w:trPr>
        <w:tc>
          <w:tcPr>
            <w:tcBorders>
              <w:top w:color="000000" w:space="0" w:sz="0" w:val="nil"/>
              <w:left w:color="000000" w:space="0" w:sz="0" w:val="nil"/>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skills/attributes:</w:t>
            </w:r>
            <w:r w:rsidDel="00000000" w:rsidR="00000000" w:rsidRPr="00000000">
              <w:rPr>
                <w:rtl w:val="0"/>
              </w:rPr>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Essential</w:t>
            </w: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Desirable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numPr>
                <w:ilvl w:val="0"/>
                <w:numId w:val="1"/>
              </w:numPr>
              <w:ind w:left="360" w:hanging="360"/>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vertAlign w:val="baseline"/>
                <w:rtl w:val="0"/>
              </w:rPr>
              <w:t xml:space="preserve">Decision making skills</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ff0000"/>
                <w:sz w:val="22"/>
                <w:szCs w:val="22"/>
                <w:vertAlign w:val="baseline"/>
                <w:rtl w:val="0"/>
              </w:rPr>
              <w:t xml:space="preserve">- able to make a decision on an informed basis taking into account all possible outcomes of this decision</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Problem-solving skills – able to investigate and solve problems with creative solutions</w:t>
            </w:r>
          </w:p>
        </w:tc>
        <w:tc>
          <w:tcPr>
            <w:vAlign w:val="center"/>
          </w:tcPr>
          <w:p w:rsidR="00000000" w:rsidDel="00000000" w:rsidP="00000000" w:rsidRDefault="00000000" w:rsidRPr="00000000" w14:paraId="00000043">
            <w:pPr>
              <w:jc w:val="center"/>
              <w:rPr>
                <w:rFonts w:ascii="Calibri" w:cs="Calibri" w:eastAsia="Calibri" w:hAnsi="Calibri"/>
                <w:sz w:val="22"/>
                <w:szCs w:val="22"/>
                <w:vertAlign w:val="baseline"/>
              </w:rPr>
            </w:pPr>
            <w:r w:rsidDel="00000000" w:rsidR="00000000" w:rsidRPr="00000000">
              <w:rPr>
                <w:rFonts w:ascii="Wingdings" w:cs="Wingdings" w:eastAsia="Wingdings" w:hAnsi="Wingdings"/>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skills (both orally and in writing) – the ability to make points clearly and understand the views of others to a variety of audiences.</w:t>
            </w:r>
          </w:p>
        </w:tc>
        <w:tc>
          <w:tcPr>
            <w:vAlign w:val="center"/>
          </w:tcPr>
          <w:p w:rsidR="00000000" w:rsidDel="00000000" w:rsidP="00000000" w:rsidRDefault="00000000" w:rsidRPr="00000000" w14:paraId="00000046">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develop new ideas</w:t>
            </w:r>
          </w:p>
        </w:tc>
        <w:tc>
          <w:tcPr>
            <w:vAlign w:val="center"/>
          </w:tcPr>
          <w:p w:rsidR="00000000" w:rsidDel="00000000" w:rsidP="00000000" w:rsidRDefault="00000000" w:rsidRPr="00000000" w14:paraId="00000049">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impact and presence</w:t>
            </w:r>
          </w:p>
        </w:tc>
        <w:tc>
          <w:tcPr>
            <w:vAlign w:val="center"/>
          </w:tcPr>
          <w:p w:rsidR="00000000" w:rsidDel="00000000" w:rsidP="00000000" w:rsidRDefault="00000000" w:rsidRPr="00000000" w14:paraId="0000004C">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Energy, determination and perseverance</w:t>
            </w:r>
          </w:p>
        </w:tc>
        <w:tc>
          <w:tcPr>
            <w:vAlign w:val="center"/>
          </w:tcPr>
          <w:p w:rsidR="00000000" w:rsidDel="00000000" w:rsidP="00000000" w:rsidRDefault="00000000" w:rsidRPr="00000000" w14:paraId="0000004F">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 w:val="left" w:leader="none" w:pos="4320"/>
              </w:tabs>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Self confidence</w:t>
            </w:r>
          </w:p>
        </w:tc>
        <w:tc>
          <w:tcPr>
            <w:vAlign w:val="center"/>
          </w:tcPr>
          <w:p w:rsidR="00000000" w:rsidDel="00000000" w:rsidP="00000000" w:rsidRDefault="00000000" w:rsidRPr="00000000" w14:paraId="00000052">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Enthusiasm and commitment</w:t>
            </w:r>
          </w:p>
        </w:tc>
        <w:tc>
          <w:tcPr>
            <w:vAlign w:val="center"/>
          </w:tcPr>
          <w:p w:rsidR="00000000" w:rsidDel="00000000" w:rsidP="00000000" w:rsidRDefault="00000000" w:rsidRPr="00000000" w14:paraId="00000055">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Contacts and relationships – deal with possible contentious and complex relationships with some authority.</w:t>
            </w:r>
          </w:p>
        </w:tc>
        <w:tc>
          <w:tcPr>
            <w:vAlign w:val="center"/>
          </w:tcPr>
          <w:p w:rsidR="00000000" w:rsidDel="00000000" w:rsidP="00000000" w:rsidRDefault="00000000" w:rsidRPr="00000000" w14:paraId="00000058">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A">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Tact, persuasion and sensitivity  </w:t>
            </w:r>
          </w:p>
        </w:tc>
        <w:tc>
          <w:tcPr>
            <w:vAlign w:val="center"/>
          </w:tcPr>
          <w:p w:rsidR="00000000" w:rsidDel="00000000" w:rsidP="00000000" w:rsidRDefault="00000000" w:rsidRPr="00000000" w14:paraId="0000005B">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Reliability and integrity</w:t>
            </w:r>
          </w:p>
        </w:tc>
        <w:tc>
          <w:tcPr>
            <w:vAlign w:val="center"/>
          </w:tcPr>
          <w:p w:rsidR="00000000" w:rsidDel="00000000" w:rsidP="00000000" w:rsidRDefault="00000000" w:rsidRPr="00000000" w14:paraId="0000005E">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0">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commitment to equal opportunities</w:t>
            </w:r>
          </w:p>
        </w:tc>
        <w:tc>
          <w:tcPr>
            <w:vAlign w:val="center"/>
          </w:tcPr>
          <w:p w:rsidR="00000000" w:rsidDel="00000000" w:rsidP="00000000" w:rsidRDefault="00000000" w:rsidRPr="00000000" w14:paraId="00000061">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A commitment to safeguarding and promoting the welfare of children and young people</w:t>
            </w:r>
          </w:p>
        </w:tc>
        <w:tc>
          <w:tcPr>
            <w:vAlign w:val="center"/>
          </w:tcPr>
          <w:p w:rsidR="00000000" w:rsidDel="00000000" w:rsidP="00000000" w:rsidRDefault="00000000" w:rsidRPr="00000000" w14:paraId="00000064">
            <w:pPr>
              <w:jc w:val="center"/>
              <w:rPr>
                <w:rFonts w:ascii="Calibri" w:cs="Calibri" w:eastAsia="Calibri" w:hAnsi="Calibri"/>
                <w:sz w:val="22"/>
                <w:szCs w:val="22"/>
                <w:vertAlign w:val="baseline"/>
              </w:rPr>
            </w:pPr>
            <w:r w:rsidDel="00000000" w:rsidR="00000000" w:rsidRPr="00000000">
              <w:rPr>
                <w:rFonts w:ascii="Wingdings" w:cs="Wingdings" w:eastAsia="Wingdings" w:hAnsi="Wingdings"/>
                <w:sz w:val="22"/>
                <w:szCs w:val="22"/>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Note - </w:t>
      </w:r>
      <w:r w:rsidDel="00000000" w:rsidR="00000000" w:rsidRPr="00000000">
        <w:rPr>
          <w:rFonts w:ascii="Calibri" w:cs="Calibri" w:eastAsia="Calibri" w:hAnsi="Calibri"/>
          <w:sz w:val="20"/>
          <w:szCs w:val="20"/>
          <w:vertAlign w:val="baseline"/>
          <w:rtl w:val="0"/>
        </w:rPr>
        <w:t xml:space="preserve">This person specification is not necessarily a comprehensive definition of the post.  It will be during the first year and will be subject to modification and amendment after consultation with the post-holder.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900"/>
        </w:tabs>
        <w:spacing w:after="0" w:before="0" w:line="240" w:lineRule="auto"/>
        <w:ind w:left="0" w:right="0" w:firstLine="0"/>
        <w:jc w:val="left"/>
        <w:rPr>
          <w:rFonts w:ascii="Calibri" w:cs="Calibri" w:eastAsia="Calibri" w:hAnsi="Calibri"/>
          <w:b w:val="0"/>
          <w:i w:val="0"/>
          <w:smallCaps w:val="0"/>
          <w:strike w:val="0"/>
          <w:color w:val="ff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The skills in red text must be clearly demonstrated on the job application form for the candidate to be considered for selection.  These skills will be assessed as part of the interview process.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320"/>
          <w:tab w:val="left" w:leader="none" w:pos="900"/>
        </w:tabs>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sectPr>
      <w:headerReference r:id="rId6" w:type="default"/>
      <w:pgSz w:h="16838" w:w="11906" w:orient="portrait"/>
      <w:pgMar w:bottom="357.1653543307087" w:top="1700.7874015748032" w:left="720.0000000000001" w:right="566.92913385826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Wingding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-284479</wp:posOffset>
          </wp:positionH>
          <wp:positionV relativeFrom="paragraph">
            <wp:posOffset>-304799</wp:posOffset>
          </wp:positionV>
          <wp:extent cx="1112520" cy="13030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2520" cy="13030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