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A7" w:rsidRDefault="002A52A7" w:rsidP="002A52A7">
      <w:pPr>
        <w:jc w:val="center"/>
        <w:rPr>
          <w:rFonts w:ascii="Calibri" w:hAnsi="Calibri"/>
          <w:b/>
          <w:sz w:val="22"/>
          <w:szCs w:val="22"/>
        </w:rPr>
      </w:pPr>
    </w:p>
    <w:p w:rsidR="002A52A7" w:rsidRDefault="002A52A7" w:rsidP="002A52A7">
      <w:pPr>
        <w:jc w:val="center"/>
        <w:rPr>
          <w:rFonts w:ascii="Calibri" w:hAnsi="Calibri"/>
          <w:b/>
          <w:sz w:val="22"/>
          <w:szCs w:val="22"/>
        </w:rPr>
      </w:pPr>
      <w:r>
        <w:rPr>
          <w:rFonts w:ascii="Calibri" w:hAnsi="Calibri"/>
          <w:b/>
          <w:sz w:val="22"/>
          <w:szCs w:val="22"/>
        </w:rPr>
        <w:t>KING EDWARD VI COLLEGE, STOURBRIDGE</w:t>
      </w:r>
    </w:p>
    <w:p w:rsidR="002A52A7" w:rsidRDefault="002A52A7" w:rsidP="002A52A7">
      <w:pPr>
        <w:jc w:val="center"/>
        <w:rPr>
          <w:rFonts w:ascii="Calibri" w:hAnsi="Calibri"/>
          <w:b/>
          <w:sz w:val="22"/>
          <w:szCs w:val="22"/>
        </w:rPr>
      </w:pPr>
    </w:p>
    <w:p w:rsidR="002A52A7" w:rsidRDefault="002A52A7" w:rsidP="002A52A7">
      <w:pPr>
        <w:jc w:val="center"/>
        <w:rPr>
          <w:rFonts w:ascii="Calibri" w:hAnsi="Calibri"/>
          <w:b/>
          <w:sz w:val="22"/>
          <w:szCs w:val="22"/>
        </w:rPr>
      </w:pPr>
      <w:r>
        <w:rPr>
          <w:rFonts w:ascii="Calibri" w:hAnsi="Calibri"/>
          <w:b/>
          <w:sz w:val="22"/>
          <w:szCs w:val="22"/>
        </w:rPr>
        <w:t>TEACHER OF PSYCHOLOGY (Maternity cover)</w:t>
      </w:r>
    </w:p>
    <w:p w:rsidR="002A52A7" w:rsidRDefault="002A52A7" w:rsidP="002A52A7">
      <w:pPr>
        <w:jc w:val="center"/>
        <w:rPr>
          <w:rFonts w:ascii="Calibri" w:hAnsi="Calibri"/>
          <w:b/>
          <w:sz w:val="22"/>
          <w:szCs w:val="22"/>
        </w:rPr>
      </w:pPr>
    </w:p>
    <w:p w:rsidR="002A52A7" w:rsidRDefault="002A52A7" w:rsidP="002A52A7">
      <w:pPr>
        <w:rPr>
          <w:rFonts w:ascii="Calibri" w:hAnsi="Calibri"/>
          <w:b/>
          <w:sz w:val="22"/>
          <w:szCs w:val="22"/>
        </w:rPr>
      </w:pPr>
    </w:p>
    <w:p w:rsidR="002A52A7" w:rsidRDefault="002A52A7" w:rsidP="002A52A7">
      <w:pPr>
        <w:jc w:val="both"/>
        <w:rPr>
          <w:rFonts w:ascii="Calibri" w:hAnsi="Calibri"/>
          <w:b/>
          <w:sz w:val="22"/>
          <w:szCs w:val="22"/>
        </w:rPr>
      </w:pPr>
      <w:r>
        <w:rPr>
          <w:rFonts w:ascii="Calibri" w:hAnsi="Calibri"/>
          <w:b/>
          <w:sz w:val="22"/>
          <w:szCs w:val="22"/>
        </w:rPr>
        <w:t>The vacancy</w:t>
      </w:r>
    </w:p>
    <w:p w:rsidR="002A52A7" w:rsidRDefault="002A52A7" w:rsidP="002A52A7">
      <w:pPr>
        <w:jc w:val="both"/>
        <w:rPr>
          <w:rFonts w:ascii="Calibri" w:hAnsi="Calibri"/>
          <w:b/>
          <w:sz w:val="22"/>
          <w:szCs w:val="22"/>
        </w:rPr>
      </w:pPr>
    </w:p>
    <w:p w:rsidR="002A52A7" w:rsidRDefault="002A52A7" w:rsidP="002A52A7">
      <w:pPr>
        <w:jc w:val="both"/>
        <w:rPr>
          <w:rFonts w:ascii="Calibri" w:hAnsi="Calibri"/>
          <w:sz w:val="22"/>
          <w:szCs w:val="22"/>
        </w:rPr>
      </w:pPr>
      <w:r>
        <w:rPr>
          <w:rFonts w:ascii="Calibri" w:hAnsi="Calibri"/>
          <w:sz w:val="22"/>
          <w:szCs w:val="22"/>
        </w:rPr>
        <w:t>The post is temporary (maternity cover) and is full-time</w:t>
      </w:r>
      <w:r w:rsidR="001048D6">
        <w:rPr>
          <w:rFonts w:ascii="Calibri" w:hAnsi="Calibri"/>
          <w:sz w:val="22"/>
          <w:szCs w:val="22"/>
        </w:rPr>
        <w:t xml:space="preserve"> and planned to run for one year</w:t>
      </w:r>
      <w:bookmarkStart w:id="0" w:name="_GoBack"/>
      <w:bookmarkEnd w:id="0"/>
      <w:r w:rsidR="001048D6">
        <w:rPr>
          <w:rFonts w:ascii="Calibri" w:hAnsi="Calibri"/>
          <w:sz w:val="22"/>
          <w:szCs w:val="22"/>
        </w:rPr>
        <w:t xml:space="preserve"> from Easter 2018</w:t>
      </w:r>
      <w:r>
        <w:rPr>
          <w:rFonts w:ascii="Calibri" w:hAnsi="Calibri"/>
          <w:sz w:val="22"/>
          <w:szCs w:val="22"/>
        </w:rPr>
        <w:t xml:space="preserve">. It provides an excellent opportunity for a teacher with enthusiasm and drive who wishes to work in a strongly academic sixth form college, which is committed to lively, student-centred teaching and a concern for meeting the needs of individual students.  </w:t>
      </w:r>
    </w:p>
    <w:p w:rsidR="002A52A7" w:rsidRDefault="002A52A7" w:rsidP="002A52A7">
      <w:pPr>
        <w:pStyle w:val="BodyText"/>
        <w:rPr>
          <w:rFonts w:ascii="Calibri" w:hAnsi="Calibri"/>
        </w:rPr>
      </w:pPr>
    </w:p>
    <w:p w:rsidR="002A52A7" w:rsidRDefault="002A52A7" w:rsidP="002A52A7">
      <w:pPr>
        <w:pStyle w:val="BodyText"/>
        <w:rPr>
          <w:rFonts w:ascii="Calibri" w:hAnsi="Calibri"/>
        </w:rPr>
      </w:pPr>
      <w:r>
        <w:rPr>
          <w:rFonts w:ascii="Calibri" w:hAnsi="Calibri"/>
        </w:rPr>
        <w:t>Applications will be welcomed from well-qualified graduates, wishing to begin their teaching career by specialising in sixth form teaching.  Newly qualified teachers are able to acquire Qualified Teacher Status at sixth form colleges and the college arranges for the necessary pre-16 teaching experience at one of our partner 11-16 schools.  For experienced teachers, post-16 experience in sixth form, tertiary or general FE colleges and maintained or independent schools will be equally relevant.  Although a postgraduate teaching qualification is preferred, applicants without such a qualification are also encouraged to apply.  The college is fully committed to supporting all members of staff through staff development and in-service training.</w:t>
      </w:r>
    </w:p>
    <w:p w:rsidR="002A52A7" w:rsidRDefault="002A52A7" w:rsidP="002A52A7">
      <w:pPr>
        <w:jc w:val="both"/>
        <w:rPr>
          <w:rFonts w:ascii="Calibri" w:hAnsi="Calibri"/>
          <w:sz w:val="22"/>
          <w:szCs w:val="22"/>
        </w:rPr>
      </w:pPr>
    </w:p>
    <w:p w:rsidR="002A52A7" w:rsidRDefault="002A52A7" w:rsidP="002A52A7">
      <w:pPr>
        <w:jc w:val="both"/>
        <w:rPr>
          <w:rFonts w:ascii="Calibri" w:hAnsi="Calibri"/>
          <w:b/>
          <w:sz w:val="22"/>
          <w:szCs w:val="22"/>
        </w:rPr>
      </w:pPr>
      <w:r>
        <w:rPr>
          <w:rFonts w:ascii="Calibri" w:hAnsi="Calibri"/>
          <w:b/>
          <w:sz w:val="22"/>
          <w:szCs w:val="22"/>
        </w:rPr>
        <w:t>Salary and conditions of service</w:t>
      </w:r>
    </w:p>
    <w:p w:rsidR="002A52A7" w:rsidRDefault="002A52A7" w:rsidP="002A52A7">
      <w:pPr>
        <w:jc w:val="both"/>
        <w:rPr>
          <w:rFonts w:ascii="Calibri" w:hAnsi="Calibri"/>
          <w:b/>
          <w:sz w:val="22"/>
          <w:szCs w:val="22"/>
        </w:rPr>
      </w:pPr>
    </w:p>
    <w:p w:rsidR="002A52A7" w:rsidRDefault="002A52A7" w:rsidP="002A5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r>
        <w:rPr>
          <w:rFonts w:ascii="Calibri" w:hAnsi="Calibri"/>
          <w:sz w:val="22"/>
          <w:szCs w:val="22"/>
        </w:rPr>
        <w:t xml:space="preserve">The appointment will be made at the appropriate point, according to the successful candidate’s qualifications and experience, on the current pay spine of the Sixth Form Colleges’ Association, and is subject to a probationary period of </w:t>
      </w:r>
      <w:r>
        <w:rPr>
          <w:rFonts w:ascii="Calibri" w:hAnsi="Calibri"/>
          <w:b/>
          <w:sz w:val="22"/>
          <w:szCs w:val="22"/>
        </w:rPr>
        <w:t>one</w:t>
      </w:r>
      <w:r>
        <w:rPr>
          <w:rFonts w:ascii="Calibri" w:hAnsi="Calibri"/>
          <w:sz w:val="22"/>
          <w:szCs w:val="22"/>
        </w:rPr>
        <w:t xml:space="preserve"> month. The current entry point for a </w:t>
      </w:r>
      <w:r>
        <w:rPr>
          <w:rFonts w:ascii="Calibri" w:hAnsi="Calibri"/>
          <w:bCs/>
          <w:sz w:val="22"/>
          <w:szCs w:val="22"/>
        </w:rPr>
        <w:t>full-time</w:t>
      </w:r>
      <w:r>
        <w:rPr>
          <w:rFonts w:ascii="Calibri" w:hAnsi="Calibri"/>
          <w:sz w:val="22"/>
          <w:szCs w:val="22"/>
        </w:rPr>
        <w:t xml:space="preserve"> honours graduate with a PGCE qualification, but with no previous relevant experience is </w:t>
      </w:r>
      <w:r w:rsidR="001048D6" w:rsidRPr="001048D6">
        <w:rPr>
          <w:rFonts w:ascii="Calibri" w:hAnsi="Calibri"/>
          <w:sz w:val="22"/>
          <w:szCs w:val="22"/>
        </w:rPr>
        <w:t>NSP2 £24457 rising to £38364</w:t>
      </w:r>
      <w:r w:rsidRPr="001048D6">
        <w:rPr>
          <w:rFonts w:ascii="Calibri" w:hAnsi="Calibri"/>
          <w:sz w:val="22"/>
          <w:szCs w:val="22"/>
        </w:rPr>
        <w:t xml:space="preserve"> which is NSP9.  The entry point for a gradu</w:t>
      </w:r>
      <w:r w:rsidR="001048D6" w:rsidRPr="001048D6">
        <w:rPr>
          <w:rFonts w:ascii="Calibri" w:hAnsi="Calibri"/>
          <w:sz w:val="22"/>
          <w:szCs w:val="22"/>
        </w:rPr>
        <w:t>ate without PGCE would be £22936</w:t>
      </w:r>
      <w:r w:rsidRPr="001048D6">
        <w:rPr>
          <w:rFonts w:ascii="Calibri" w:hAnsi="Calibri"/>
          <w:sz w:val="22"/>
          <w:szCs w:val="22"/>
        </w:rPr>
        <w:t xml:space="preserve"> which is NSP1.</w:t>
      </w:r>
      <w:r>
        <w:rPr>
          <w:rFonts w:ascii="Calibri" w:hAnsi="Calibri"/>
          <w:sz w:val="22"/>
          <w:szCs w:val="22"/>
        </w:rPr>
        <w:t xml:space="preserve">  Salary will be dependent on experience, and is pro rata.  Conditions of service are those of the Sixth Form Colleges Association.</w:t>
      </w:r>
    </w:p>
    <w:p w:rsidR="002A52A7" w:rsidRDefault="002A52A7" w:rsidP="002A52A7">
      <w:pPr>
        <w:jc w:val="both"/>
        <w:rPr>
          <w:rFonts w:ascii="Calibri" w:hAnsi="Calibri"/>
          <w:sz w:val="22"/>
          <w:szCs w:val="22"/>
        </w:rPr>
      </w:pPr>
    </w:p>
    <w:p w:rsidR="002A52A7" w:rsidRDefault="002A52A7" w:rsidP="002A52A7">
      <w:pPr>
        <w:suppressAutoHyphens/>
        <w:jc w:val="both"/>
        <w:rPr>
          <w:rFonts w:ascii="Calibri" w:hAnsi="Calibri"/>
          <w:sz w:val="22"/>
          <w:szCs w:val="22"/>
        </w:rPr>
      </w:pPr>
      <w:r>
        <w:rPr>
          <w:rFonts w:ascii="Calibri" w:hAnsi="Calibri"/>
          <w:sz w:val="22"/>
          <w:szCs w:val="22"/>
        </w:rPr>
        <w:t>It is compulsory for all members of staff to attend the annual open events in mid-October, for which there is a compensating college closure day/TOIL given.</w:t>
      </w:r>
    </w:p>
    <w:p w:rsidR="002A52A7" w:rsidRDefault="002A52A7" w:rsidP="002A52A7">
      <w:pPr>
        <w:jc w:val="both"/>
        <w:rPr>
          <w:rFonts w:ascii="Calibri" w:hAnsi="Calibri"/>
          <w:sz w:val="22"/>
          <w:szCs w:val="22"/>
        </w:rPr>
      </w:pPr>
    </w:p>
    <w:p w:rsidR="002A52A7" w:rsidRDefault="002A52A7" w:rsidP="002A52A7">
      <w:pPr>
        <w:jc w:val="both"/>
        <w:rPr>
          <w:rFonts w:ascii="Calibri" w:hAnsi="Calibri"/>
          <w:b/>
          <w:sz w:val="22"/>
          <w:szCs w:val="22"/>
        </w:rPr>
      </w:pPr>
      <w:r>
        <w:rPr>
          <w:rFonts w:ascii="Calibri" w:hAnsi="Calibri"/>
          <w:b/>
          <w:sz w:val="22"/>
          <w:szCs w:val="22"/>
        </w:rPr>
        <w:t>The college curriculum</w:t>
      </w:r>
    </w:p>
    <w:p w:rsidR="002A52A7" w:rsidRDefault="002A52A7" w:rsidP="002A52A7">
      <w:pPr>
        <w:jc w:val="both"/>
        <w:rPr>
          <w:rFonts w:ascii="Calibri" w:hAnsi="Calibri"/>
          <w:b/>
          <w:sz w:val="22"/>
          <w:szCs w:val="22"/>
        </w:rPr>
      </w:pPr>
    </w:p>
    <w:p w:rsidR="002A52A7" w:rsidRDefault="002A52A7" w:rsidP="002A52A7">
      <w:pPr>
        <w:jc w:val="both"/>
        <w:rPr>
          <w:rFonts w:ascii="Calibri" w:hAnsi="Calibri"/>
          <w:sz w:val="22"/>
          <w:szCs w:val="22"/>
        </w:rPr>
      </w:pPr>
      <w:r>
        <w:rPr>
          <w:rFonts w:ascii="Calibri" w:hAnsi="Calibri"/>
          <w:sz w:val="22"/>
          <w:szCs w:val="22"/>
        </w:rPr>
        <w:t>All students at the college are full-time 16-19 students, following a programme of GCE A level subjects.  Most students choose three subjects in year 12 and enrol on a two-year programme of study, which includes a wide range of enrichment activities.</w:t>
      </w:r>
    </w:p>
    <w:p w:rsidR="002A52A7" w:rsidRDefault="002A52A7" w:rsidP="002A52A7">
      <w:pPr>
        <w:jc w:val="both"/>
        <w:rPr>
          <w:rFonts w:ascii="Calibri" w:hAnsi="Calibri"/>
          <w:sz w:val="22"/>
          <w:szCs w:val="22"/>
        </w:rPr>
      </w:pPr>
    </w:p>
    <w:p w:rsidR="002A52A7" w:rsidRDefault="002A52A7" w:rsidP="002A52A7">
      <w:pPr>
        <w:jc w:val="both"/>
        <w:rPr>
          <w:rFonts w:ascii="Calibri" w:hAnsi="Calibri"/>
          <w:b/>
          <w:bCs/>
          <w:sz w:val="22"/>
          <w:szCs w:val="22"/>
        </w:rPr>
      </w:pPr>
      <w:r>
        <w:rPr>
          <w:rFonts w:ascii="Calibri" w:hAnsi="Calibri"/>
          <w:b/>
          <w:bCs/>
          <w:sz w:val="22"/>
          <w:szCs w:val="22"/>
        </w:rPr>
        <w:t>The academic structure</w:t>
      </w:r>
    </w:p>
    <w:p w:rsidR="002A52A7" w:rsidRDefault="002A52A7" w:rsidP="002A52A7">
      <w:pPr>
        <w:jc w:val="both"/>
        <w:rPr>
          <w:rFonts w:ascii="Calibri" w:hAnsi="Calibri"/>
          <w:b/>
          <w:bCs/>
          <w:sz w:val="22"/>
          <w:szCs w:val="22"/>
        </w:rPr>
      </w:pPr>
    </w:p>
    <w:p w:rsidR="002A52A7" w:rsidRDefault="002A52A7" w:rsidP="002A52A7">
      <w:pPr>
        <w:jc w:val="both"/>
        <w:rPr>
          <w:rFonts w:ascii="Calibri" w:hAnsi="Calibri"/>
          <w:sz w:val="22"/>
          <w:szCs w:val="22"/>
        </w:rPr>
      </w:pPr>
      <w:r>
        <w:rPr>
          <w:rFonts w:ascii="Calibri" w:hAnsi="Calibri"/>
          <w:sz w:val="22"/>
          <w:szCs w:val="22"/>
        </w:rPr>
        <w:t>The college’s academic structure is designed to ensure the highest quality of teaching and learning.  The academic curriculum is overseen by two assistant principals, who are supported by a team of curriculum leaders and subject leaders.   Allied to these leadership posts, a team of teaching and learning mentors work collaboratively with teachers to promote excellence and innovation in teaching and learning.</w:t>
      </w:r>
    </w:p>
    <w:p w:rsidR="002A52A7" w:rsidRDefault="002A52A7" w:rsidP="002A52A7">
      <w:pPr>
        <w:jc w:val="both"/>
        <w:rPr>
          <w:rFonts w:ascii="Calibri" w:hAnsi="Calibri"/>
          <w:sz w:val="22"/>
          <w:szCs w:val="22"/>
        </w:rPr>
      </w:pPr>
    </w:p>
    <w:p w:rsidR="002A52A7" w:rsidRDefault="002A52A7" w:rsidP="002A52A7">
      <w:pPr>
        <w:jc w:val="both"/>
        <w:rPr>
          <w:rFonts w:ascii="Calibri" w:hAnsi="Calibri"/>
          <w:sz w:val="22"/>
          <w:szCs w:val="22"/>
        </w:rPr>
      </w:pPr>
    </w:p>
    <w:p w:rsidR="002A52A7" w:rsidRDefault="002A52A7" w:rsidP="002A52A7">
      <w:pPr>
        <w:jc w:val="both"/>
        <w:rPr>
          <w:rFonts w:ascii="Calibri" w:hAnsi="Calibri"/>
          <w:sz w:val="22"/>
          <w:szCs w:val="22"/>
        </w:rPr>
      </w:pPr>
    </w:p>
    <w:p w:rsidR="002A52A7" w:rsidRDefault="002A52A7" w:rsidP="002A52A7">
      <w:pPr>
        <w:jc w:val="both"/>
        <w:rPr>
          <w:rFonts w:ascii="Calibri" w:hAnsi="Calibri"/>
          <w:b/>
          <w:sz w:val="22"/>
          <w:szCs w:val="22"/>
        </w:rPr>
      </w:pPr>
      <w:r>
        <w:rPr>
          <w:rFonts w:ascii="Calibri" w:hAnsi="Calibri"/>
          <w:b/>
          <w:sz w:val="22"/>
          <w:szCs w:val="22"/>
        </w:rPr>
        <w:lastRenderedPageBreak/>
        <w:t>The college’s student support system</w:t>
      </w:r>
    </w:p>
    <w:p w:rsidR="002A52A7" w:rsidRDefault="002A52A7" w:rsidP="002A52A7">
      <w:pPr>
        <w:jc w:val="both"/>
        <w:rPr>
          <w:rFonts w:ascii="Calibri" w:hAnsi="Calibri"/>
          <w:b/>
          <w:sz w:val="22"/>
          <w:szCs w:val="22"/>
        </w:rPr>
      </w:pPr>
    </w:p>
    <w:p w:rsidR="002A52A7" w:rsidRDefault="002A52A7" w:rsidP="002A52A7">
      <w:pPr>
        <w:jc w:val="both"/>
        <w:rPr>
          <w:rFonts w:ascii="Calibri" w:hAnsi="Calibri"/>
          <w:sz w:val="22"/>
          <w:szCs w:val="22"/>
        </w:rPr>
      </w:pPr>
      <w:r>
        <w:rPr>
          <w:rFonts w:ascii="Calibri" w:hAnsi="Calibri"/>
          <w:sz w:val="22"/>
          <w:szCs w:val="22"/>
        </w:rPr>
        <w:t>Pastoral support at the college aims to ensure students receive the right level of bespoke support and encouragement to enable them to work to their potential.  The college has a strong student support system based upon the pastoral role of the student support tutor.  The dedicated team of full-time student support tutors have day-to-day responsibility for a tutor group of about twenty-two students.  Within this system, the college operates a review and guidance programme with a focus on individual curriculum and pastoral support.  Counselling services are readily available to those students who wish to use them.</w:t>
      </w:r>
    </w:p>
    <w:p w:rsidR="002A52A7" w:rsidRDefault="002A52A7" w:rsidP="002A52A7">
      <w:pPr>
        <w:jc w:val="both"/>
        <w:rPr>
          <w:rFonts w:ascii="Calibri" w:hAnsi="Calibri"/>
          <w:b/>
          <w:sz w:val="22"/>
          <w:szCs w:val="22"/>
        </w:rPr>
      </w:pPr>
    </w:p>
    <w:p w:rsidR="002A52A7" w:rsidRDefault="002A52A7" w:rsidP="002A52A7">
      <w:pPr>
        <w:jc w:val="both"/>
        <w:rPr>
          <w:rFonts w:ascii="Calibri" w:hAnsi="Calibri"/>
          <w:b/>
          <w:sz w:val="22"/>
          <w:szCs w:val="22"/>
        </w:rPr>
      </w:pPr>
      <w:r>
        <w:rPr>
          <w:rFonts w:ascii="Calibri" w:hAnsi="Calibri"/>
          <w:b/>
          <w:sz w:val="22"/>
          <w:szCs w:val="22"/>
        </w:rPr>
        <w:t>Psychology at King Edward VI College</w:t>
      </w:r>
    </w:p>
    <w:p w:rsidR="002A52A7" w:rsidRDefault="002A52A7" w:rsidP="002A52A7">
      <w:pPr>
        <w:jc w:val="both"/>
        <w:rPr>
          <w:rFonts w:ascii="Calibri" w:hAnsi="Calibri"/>
          <w:b/>
          <w:sz w:val="22"/>
          <w:szCs w:val="22"/>
        </w:rPr>
      </w:pPr>
    </w:p>
    <w:p w:rsidR="002A52A7" w:rsidRDefault="002A52A7" w:rsidP="002A52A7">
      <w:pPr>
        <w:rPr>
          <w:rFonts w:ascii="Calibri" w:hAnsi="Calibri" w:cs="Times New Roman"/>
          <w:sz w:val="22"/>
          <w:szCs w:val="22"/>
        </w:rPr>
      </w:pPr>
      <w:r>
        <w:rPr>
          <w:rFonts w:ascii="Calibri" w:hAnsi="Calibri" w:cs="Times New Roman"/>
          <w:sz w:val="22"/>
          <w:szCs w:val="22"/>
        </w:rPr>
        <w:t>There are currently 330 students in Year 12 and 250 in Year 13 and these numbers continue to grow each year, making psychology the</w:t>
      </w:r>
      <w:r w:rsidR="001048D6">
        <w:rPr>
          <w:rFonts w:ascii="Calibri" w:hAnsi="Calibri" w:cs="Times New Roman"/>
          <w:sz w:val="22"/>
          <w:szCs w:val="22"/>
        </w:rPr>
        <w:t xml:space="preserve"> one of the largest subject in the college. </w:t>
      </w:r>
      <w:r>
        <w:rPr>
          <w:rFonts w:ascii="Calibri" w:hAnsi="Calibri" w:cs="Times New Roman"/>
          <w:sz w:val="22"/>
          <w:szCs w:val="22"/>
        </w:rPr>
        <w:t xml:space="preserve">We are teaching the new Edexcel A Level psychology specification for which appropriate support and training will be provided.  In addition to timetabled lessons, subject staff work with students in dedicated workshop time to consolidate and extend their learning.  </w:t>
      </w:r>
      <w:r w:rsidR="00DA566A">
        <w:rPr>
          <w:rFonts w:ascii="Calibri" w:hAnsi="Calibri" w:cs="Times New Roman"/>
          <w:sz w:val="22"/>
          <w:szCs w:val="22"/>
        </w:rPr>
        <w:t>The</w:t>
      </w:r>
      <w:r>
        <w:rPr>
          <w:rFonts w:ascii="Calibri" w:hAnsi="Calibri" w:cs="Times New Roman"/>
          <w:sz w:val="22"/>
          <w:szCs w:val="22"/>
        </w:rPr>
        <w:t xml:space="preserve"> majority of our students choose to attend university after their time at college, </w:t>
      </w:r>
      <w:r w:rsidR="00DA566A">
        <w:rPr>
          <w:rFonts w:ascii="Calibri" w:hAnsi="Calibri" w:cs="Times New Roman"/>
          <w:sz w:val="22"/>
          <w:szCs w:val="22"/>
        </w:rPr>
        <w:t>with many seeking courses in psychology or related courses.</w:t>
      </w:r>
    </w:p>
    <w:p w:rsidR="002A52A7" w:rsidRDefault="002A52A7" w:rsidP="002A52A7">
      <w:pPr>
        <w:rPr>
          <w:rFonts w:ascii="Calibri" w:hAnsi="Calibri" w:cs="Times New Roman"/>
          <w:color w:val="1F497D"/>
          <w:sz w:val="22"/>
          <w:szCs w:val="22"/>
        </w:rPr>
      </w:pPr>
    </w:p>
    <w:p w:rsidR="002A52A7" w:rsidRDefault="00DA566A" w:rsidP="002A52A7">
      <w:pPr>
        <w:jc w:val="both"/>
        <w:rPr>
          <w:rFonts w:ascii="Calibri" w:hAnsi="Calibri"/>
          <w:b/>
          <w:sz w:val="22"/>
          <w:szCs w:val="22"/>
        </w:rPr>
      </w:pPr>
      <w:r>
        <w:rPr>
          <w:rFonts w:ascii="Calibri" w:hAnsi="Calibri"/>
          <w:b/>
          <w:sz w:val="22"/>
          <w:szCs w:val="22"/>
        </w:rPr>
        <w:t>Psychology</w:t>
      </w:r>
      <w:r w:rsidR="002A52A7">
        <w:rPr>
          <w:rFonts w:ascii="Calibri" w:hAnsi="Calibri"/>
          <w:b/>
          <w:sz w:val="22"/>
          <w:szCs w:val="22"/>
        </w:rPr>
        <w:t xml:space="preserve"> ‘A’ level results:  </w:t>
      </w:r>
    </w:p>
    <w:p w:rsidR="002A52A7" w:rsidRDefault="002A52A7" w:rsidP="002A52A7">
      <w:pPr>
        <w:jc w:val="both"/>
        <w:rPr>
          <w:rFonts w:ascii="Calibri" w:hAnsi="Calibri"/>
          <w:b/>
          <w:sz w:val="22"/>
          <w:szCs w:val="22"/>
        </w:rPr>
      </w:pPr>
    </w:p>
    <w:p w:rsidR="002A52A7" w:rsidRDefault="002A52A7" w:rsidP="002A52A7">
      <w:pPr>
        <w:jc w:val="both"/>
        <w:rPr>
          <w:rFonts w:ascii="Calibri" w:hAnsi="Calibri"/>
          <w:b/>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830"/>
        <w:gridCol w:w="1707"/>
        <w:gridCol w:w="1835"/>
      </w:tblGrid>
      <w:tr w:rsidR="00DA566A" w:rsidTr="005030C1">
        <w:trPr>
          <w:jc w:val="center"/>
        </w:trPr>
        <w:tc>
          <w:tcPr>
            <w:tcW w:w="1830" w:type="dxa"/>
            <w:tcBorders>
              <w:top w:val="single" w:sz="12" w:space="0" w:color="000000"/>
              <w:left w:val="single" w:sz="12" w:space="0" w:color="000000"/>
              <w:bottom w:val="single" w:sz="6" w:space="0" w:color="000000"/>
              <w:right w:val="single" w:sz="6" w:space="0" w:color="000000"/>
            </w:tcBorders>
            <w:shd w:val="solid" w:color="800080" w:fill="FFFFFF"/>
          </w:tcPr>
          <w:p w:rsidR="00DA566A" w:rsidRDefault="00DA566A">
            <w:pPr>
              <w:pStyle w:val="BodyTextIndent"/>
              <w:ind w:left="0"/>
              <w:rPr>
                <w:rFonts w:ascii="Calibri" w:hAnsi="Calibri"/>
                <w:b/>
                <w:bCs/>
                <w:strike/>
                <w:color w:val="FFFFFF"/>
                <w:sz w:val="22"/>
                <w:szCs w:val="22"/>
              </w:rPr>
            </w:pPr>
          </w:p>
        </w:tc>
        <w:tc>
          <w:tcPr>
            <w:tcW w:w="1707" w:type="dxa"/>
            <w:tcBorders>
              <w:top w:val="single" w:sz="12" w:space="0" w:color="000000"/>
              <w:left w:val="single" w:sz="6" w:space="0" w:color="000000"/>
              <w:bottom w:val="single" w:sz="6" w:space="0" w:color="000000"/>
              <w:right w:val="single" w:sz="6" w:space="0" w:color="000000"/>
            </w:tcBorders>
            <w:shd w:val="solid" w:color="800080" w:fill="FFFFFF"/>
            <w:hideMark/>
          </w:tcPr>
          <w:p w:rsidR="00DA566A" w:rsidRDefault="00DA566A">
            <w:pPr>
              <w:pStyle w:val="BodyTextIndent"/>
              <w:ind w:left="0"/>
              <w:jc w:val="center"/>
              <w:rPr>
                <w:rFonts w:ascii="Calibri" w:hAnsi="Calibri"/>
                <w:color w:val="FFFFFF"/>
                <w:sz w:val="22"/>
                <w:szCs w:val="22"/>
              </w:rPr>
            </w:pPr>
            <w:r>
              <w:rPr>
                <w:rFonts w:ascii="Calibri" w:hAnsi="Calibri"/>
                <w:color w:val="FFFFFF"/>
                <w:sz w:val="22"/>
                <w:szCs w:val="22"/>
              </w:rPr>
              <w:t>A level,</w:t>
            </w:r>
          </w:p>
          <w:p w:rsidR="00DA566A" w:rsidRDefault="00DA566A">
            <w:pPr>
              <w:pStyle w:val="BodyTextIndent"/>
              <w:ind w:left="0"/>
              <w:jc w:val="center"/>
              <w:rPr>
                <w:rFonts w:ascii="Calibri" w:hAnsi="Calibri"/>
                <w:color w:val="FFFFFF"/>
                <w:sz w:val="22"/>
                <w:szCs w:val="22"/>
              </w:rPr>
            </w:pPr>
            <w:r>
              <w:rPr>
                <w:rFonts w:ascii="Calibri" w:hAnsi="Calibri"/>
                <w:color w:val="FFFFFF"/>
                <w:sz w:val="22"/>
                <w:szCs w:val="22"/>
              </w:rPr>
              <w:t>Pass rate %</w:t>
            </w:r>
          </w:p>
        </w:tc>
        <w:tc>
          <w:tcPr>
            <w:tcW w:w="1835" w:type="dxa"/>
            <w:tcBorders>
              <w:top w:val="single" w:sz="12" w:space="0" w:color="000000"/>
              <w:left w:val="single" w:sz="6" w:space="0" w:color="000000"/>
              <w:bottom w:val="single" w:sz="6" w:space="0" w:color="000000"/>
              <w:right w:val="single" w:sz="6" w:space="0" w:color="000000"/>
            </w:tcBorders>
            <w:shd w:val="solid" w:color="800080" w:fill="FFFFFF"/>
          </w:tcPr>
          <w:p w:rsidR="00DA566A" w:rsidRDefault="00DA566A">
            <w:pPr>
              <w:pStyle w:val="BodyTextIndent"/>
              <w:ind w:left="0"/>
              <w:jc w:val="center"/>
              <w:rPr>
                <w:rFonts w:ascii="Calibri" w:hAnsi="Calibri"/>
                <w:color w:val="FFFFFF"/>
                <w:sz w:val="22"/>
                <w:szCs w:val="22"/>
              </w:rPr>
            </w:pPr>
            <w:r>
              <w:rPr>
                <w:rFonts w:ascii="Calibri" w:hAnsi="Calibri"/>
                <w:color w:val="FFFFFF"/>
                <w:sz w:val="22"/>
                <w:szCs w:val="22"/>
              </w:rPr>
              <w:t>A level,</w:t>
            </w:r>
          </w:p>
          <w:p w:rsidR="00DA566A" w:rsidRDefault="00DA566A">
            <w:pPr>
              <w:pStyle w:val="BodyTextIndent"/>
              <w:ind w:left="0"/>
              <w:jc w:val="center"/>
              <w:rPr>
                <w:rFonts w:ascii="Calibri" w:hAnsi="Calibri"/>
                <w:color w:val="FFFFFF"/>
                <w:sz w:val="22"/>
                <w:szCs w:val="22"/>
              </w:rPr>
            </w:pPr>
            <w:r>
              <w:rPr>
                <w:rFonts w:ascii="Calibri" w:hAnsi="Calibri"/>
                <w:color w:val="FFFFFF"/>
                <w:sz w:val="22"/>
                <w:szCs w:val="22"/>
              </w:rPr>
              <w:t>A*B rate %</w:t>
            </w:r>
          </w:p>
          <w:p w:rsidR="00DA566A" w:rsidRDefault="00DA566A">
            <w:pPr>
              <w:pStyle w:val="BodyTextIndent"/>
              <w:ind w:left="0"/>
              <w:jc w:val="center"/>
              <w:rPr>
                <w:rFonts w:ascii="Calibri" w:hAnsi="Calibri"/>
                <w:color w:val="FFFFFF"/>
                <w:sz w:val="22"/>
                <w:szCs w:val="22"/>
              </w:rPr>
            </w:pPr>
          </w:p>
        </w:tc>
      </w:tr>
      <w:tr w:rsidR="00DA566A" w:rsidTr="005030C1">
        <w:trPr>
          <w:jc w:val="center"/>
        </w:trPr>
        <w:tc>
          <w:tcPr>
            <w:tcW w:w="1830" w:type="dxa"/>
            <w:tcBorders>
              <w:top w:val="single" w:sz="6" w:space="0" w:color="000000"/>
              <w:left w:val="single" w:sz="12" w:space="0" w:color="000000"/>
              <w:bottom w:val="single" w:sz="6" w:space="0" w:color="000000"/>
              <w:right w:val="single" w:sz="6" w:space="0" w:color="000000"/>
            </w:tcBorders>
            <w:shd w:val="solid" w:color="C0C0C0" w:fill="FFFFFF"/>
            <w:hideMark/>
          </w:tcPr>
          <w:p w:rsidR="00DA566A" w:rsidRDefault="00DA566A">
            <w:pPr>
              <w:pStyle w:val="BodyTextIndent"/>
              <w:spacing w:after="0"/>
              <w:ind w:left="0"/>
              <w:jc w:val="center"/>
              <w:rPr>
                <w:rFonts w:ascii="Calibri" w:hAnsi="Calibri"/>
                <w:b/>
                <w:bCs/>
                <w:sz w:val="22"/>
                <w:szCs w:val="22"/>
              </w:rPr>
            </w:pPr>
            <w:r>
              <w:rPr>
                <w:rFonts w:ascii="Calibri" w:hAnsi="Calibri"/>
                <w:b/>
                <w:bCs/>
                <w:sz w:val="22"/>
                <w:szCs w:val="22"/>
              </w:rPr>
              <w:t>2017</w:t>
            </w:r>
          </w:p>
        </w:tc>
        <w:tc>
          <w:tcPr>
            <w:tcW w:w="1707" w:type="dxa"/>
            <w:tcBorders>
              <w:top w:val="single" w:sz="6" w:space="0" w:color="000000"/>
              <w:left w:val="single" w:sz="6" w:space="0" w:color="000000"/>
              <w:bottom w:val="single" w:sz="6" w:space="0" w:color="000000"/>
              <w:right w:val="single" w:sz="6" w:space="0" w:color="000000"/>
            </w:tcBorders>
            <w:hideMark/>
          </w:tcPr>
          <w:p w:rsidR="00DA566A" w:rsidRDefault="005030C1" w:rsidP="005030C1">
            <w:pPr>
              <w:pStyle w:val="BodyTextIndent"/>
              <w:spacing w:after="0"/>
              <w:ind w:left="0"/>
              <w:jc w:val="center"/>
              <w:rPr>
                <w:rFonts w:ascii="Calibri" w:hAnsi="Calibri"/>
                <w:sz w:val="22"/>
                <w:szCs w:val="22"/>
              </w:rPr>
            </w:pPr>
            <w:r>
              <w:rPr>
                <w:rFonts w:ascii="Calibri" w:hAnsi="Calibri"/>
                <w:sz w:val="22"/>
                <w:szCs w:val="22"/>
              </w:rPr>
              <w:t>97</w:t>
            </w:r>
          </w:p>
        </w:tc>
        <w:tc>
          <w:tcPr>
            <w:tcW w:w="1835" w:type="dxa"/>
            <w:tcBorders>
              <w:top w:val="single" w:sz="6" w:space="0" w:color="000000"/>
              <w:left w:val="single" w:sz="6" w:space="0" w:color="000000"/>
              <w:bottom w:val="single" w:sz="6" w:space="0" w:color="000000"/>
              <w:right w:val="single" w:sz="6" w:space="0" w:color="000000"/>
            </w:tcBorders>
            <w:hideMark/>
          </w:tcPr>
          <w:p w:rsidR="00DA566A" w:rsidRDefault="005030C1" w:rsidP="005030C1">
            <w:pPr>
              <w:pStyle w:val="BodyTextIndent"/>
              <w:spacing w:after="0"/>
              <w:ind w:left="0"/>
              <w:jc w:val="center"/>
              <w:rPr>
                <w:rFonts w:ascii="Calibri" w:hAnsi="Calibri"/>
                <w:sz w:val="22"/>
                <w:szCs w:val="22"/>
              </w:rPr>
            </w:pPr>
            <w:r>
              <w:rPr>
                <w:rFonts w:ascii="Calibri" w:hAnsi="Calibri"/>
                <w:sz w:val="22"/>
                <w:szCs w:val="22"/>
              </w:rPr>
              <w:t>46</w:t>
            </w:r>
          </w:p>
        </w:tc>
      </w:tr>
      <w:tr w:rsidR="00DA566A" w:rsidTr="005030C1">
        <w:trPr>
          <w:jc w:val="center"/>
        </w:trPr>
        <w:tc>
          <w:tcPr>
            <w:tcW w:w="1830" w:type="dxa"/>
            <w:tcBorders>
              <w:top w:val="single" w:sz="6" w:space="0" w:color="000000"/>
              <w:left w:val="single" w:sz="12" w:space="0" w:color="000000"/>
              <w:bottom w:val="single" w:sz="6" w:space="0" w:color="000000"/>
              <w:right w:val="single" w:sz="6" w:space="0" w:color="000000"/>
            </w:tcBorders>
            <w:shd w:val="solid" w:color="C0C0C0" w:fill="FFFFFF"/>
            <w:hideMark/>
          </w:tcPr>
          <w:p w:rsidR="00DA566A" w:rsidRDefault="00DA566A">
            <w:pPr>
              <w:pStyle w:val="BodyTextIndent"/>
              <w:spacing w:after="0"/>
              <w:ind w:left="0"/>
              <w:jc w:val="center"/>
              <w:rPr>
                <w:rFonts w:ascii="Calibri" w:hAnsi="Calibri"/>
                <w:b/>
                <w:bCs/>
                <w:sz w:val="22"/>
                <w:szCs w:val="22"/>
              </w:rPr>
            </w:pPr>
            <w:r>
              <w:rPr>
                <w:rFonts w:ascii="Calibri" w:hAnsi="Calibri"/>
                <w:b/>
                <w:bCs/>
                <w:sz w:val="22"/>
                <w:szCs w:val="22"/>
              </w:rPr>
              <w:t>2016</w:t>
            </w:r>
          </w:p>
        </w:tc>
        <w:tc>
          <w:tcPr>
            <w:tcW w:w="1707" w:type="dxa"/>
            <w:tcBorders>
              <w:top w:val="single" w:sz="6" w:space="0" w:color="000000"/>
              <w:left w:val="single" w:sz="6" w:space="0" w:color="000000"/>
              <w:bottom w:val="single" w:sz="6" w:space="0" w:color="000000"/>
              <w:right w:val="single" w:sz="6" w:space="0" w:color="000000"/>
            </w:tcBorders>
            <w:hideMark/>
          </w:tcPr>
          <w:p w:rsidR="00DA566A" w:rsidRDefault="00EB43E3" w:rsidP="005030C1">
            <w:pPr>
              <w:pStyle w:val="BodyTextIndent"/>
              <w:spacing w:after="0"/>
              <w:ind w:left="0"/>
              <w:jc w:val="center"/>
              <w:rPr>
                <w:rFonts w:ascii="Calibri" w:hAnsi="Calibri"/>
                <w:sz w:val="22"/>
                <w:szCs w:val="22"/>
              </w:rPr>
            </w:pPr>
            <w:r>
              <w:rPr>
                <w:rFonts w:ascii="Calibri" w:hAnsi="Calibri"/>
                <w:sz w:val="22"/>
                <w:szCs w:val="22"/>
              </w:rPr>
              <w:t>99</w:t>
            </w:r>
          </w:p>
        </w:tc>
        <w:tc>
          <w:tcPr>
            <w:tcW w:w="1835" w:type="dxa"/>
            <w:tcBorders>
              <w:top w:val="single" w:sz="6" w:space="0" w:color="000000"/>
              <w:left w:val="single" w:sz="6" w:space="0" w:color="000000"/>
              <w:bottom w:val="single" w:sz="6" w:space="0" w:color="000000"/>
              <w:right w:val="single" w:sz="6" w:space="0" w:color="000000"/>
            </w:tcBorders>
            <w:hideMark/>
          </w:tcPr>
          <w:p w:rsidR="00DA566A" w:rsidRDefault="00EB43E3" w:rsidP="005030C1">
            <w:pPr>
              <w:pStyle w:val="BodyTextIndent"/>
              <w:spacing w:after="0"/>
              <w:ind w:left="0"/>
              <w:jc w:val="center"/>
              <w:rPr>
                <w:rFonts w:ascii="Calibri" w:hAnsi="Calibri"/>
                <w:sz w:val="22"/>
                <w:szCs w:val="22"/>
              </w:rPr>
            </w:pPr>
            <w:r>
              <w:rPr>
                <w:rFonts w:ascii="Calibri" w:hAnsi="Calibri"/>
                <w:sz w:val="22"/>
                <w:szCs w:val="22"/>
              </w:rPr>
              <w:t>60</w:t>
            </w:r>
          </w:p>
        </w:tc>
      </w:tr>
      <w:tr w:rsidR="00DA566A" w:rsidTr="005030C1">
        <w:trPr>
          <w:jc w:val="center"/>
        </w:trPr>
        <w:tc>
          <w:tcPr>
            <w:tcW w:w="1830" w:type="dxa"/>
            <w:tcBorders>
              <w:top w:val="single" w:sz="6" w:space="0" w:color="000000"/>
              <w:left w:val="single" w:sz="12" w:space="0" w:color="000000"/>
              <w:bottom w:val="single" w:sz="12" w:space="0" w:color="000000"/>
              <w:right w:val="single" w:sz="6" w:space="0" w:color="000000"/>
            </w:tcBorders>
            <w:shd w:val="solid" w:color="C0C0C0" w:fill="FFFFFF"/>
            <w:hideMark/>
          </w:tcPr>
          <w:p w:rsidR="00DA566A" w:rsidRPr="00EB43E3" w:rsidRDefault="00DA566A">
            <w:pPr>
              <w:pStyle w:val="BodyTextIndent"/>
              <w:spacing w:after="0"/>
              <w:ind w:left="0"/>
              <w:jc w:val="center"/>
              <w:rPr>
                <w:rFonts w:ascii="Calibri" w:hAnsi="Calibri"/>
                <w:b/>
                <w:bCs/>
                <w:sz w:val="22"/>
                <w:szCs w:val="22"/>
                <w:highlight w:val="yellow"/>
              </w:rPr>
            </w:pPr>
            <w:r w:rsidRPr="001048D6">
              <w:rPr>
                <w:rFonts w:ascii="Calibri" w:hAnsi="Calibri"/>
                <w:b/>
                <w:bCs/>
                <w:sz w:val="22"/>
                <w:szCs w:val="22"/>
              </w:rPr>
              <w:t>2015</w:t>
            </w:r>
          </w:p>
        </w:tc>
        <w:tc>
          <w:tcPr>
            <w:tcW w:w="1707" w:type="dxa"/>
            <w:tcBorders>
              <w:top w:val="single" w:sz="6" w:space="0" w:color="000000"/>
              <w:left w:val="single" w:sz="6" w:space="0" w:color="000000"/>
              <w:bottom w:val="single" w:sz="12" w:space="0" w:color="000000"/>
              <w:right w:val="single" w:sz="6" w:space="0" w:color="000000"/>
            </w:tcBorders>
            <w:hideMark/>
          </w:tcPr>
          <w:p w:rsidR="00DA566A" w:rsidRPr="00EB43E3" w:rsidRDefault="001048D6" w:rsidP="005030C1">
            <w:pPr>
              <w:pStyle w:val="BodyTextIndent"/>
              <w:spacing w:after="0"/>
              <w:ind w:left="0"/>
              <w:jc w:val="center"/>
              <w:rPr>
                <w:rFonts w:ascii="Calibri" w:hAnsi="Calibri"/>
                <w:sz w:val="22"/>
                <w:szCs w:val="22"/>
              </w:rPr>
            </w:pPr>
            <w:r>
              <w:rPr>
                <w:rFonts w:ascii="Calibri" w:hAnsi="Calibri"/>
                <w:sz w:val="22"/>
                <w:szCs w:val="22"/>
              </w:rPr>
              <w:t>100</w:t>
            </w:r>
          </w:p>
        </w:tc>
        <w:tc>
          <w:tcPr>
            <w:tcW w:w="1835" w:type="dxa"/>
            <w:tcBorders>
              <w:top w:val="single" w:sz="6" w:space="0" w:color="000000"/>
              <w:left w:val="single" w:sz="6" w:space="0" w:color="000000"/>
              <w:bottom w:val="single" w:sz="12" w:space="0" w:color="000000"/>
              <w:right w:val="single" w:sz="6" w:space="0" w:color="000000"/>
            </w:tcBorders>
            <w:hideMark/>
          </w:tcPr>
          <w:p w:rsidR="00DA566A" w:rsidRPr="00EB43E3" w:rsidRDefault="001048D6" w:rsidP="005030C1">
            <w:pPr>
              <w:pStyle w:val="BodyTextIndent"/>
              <w:spacing w:after="0"/>
              <w:ind w:left="0"/>
              <w:jc w:val="center"/>
              <w:rPr>
                <w:rFonts w:ascii="Calibri" w:hAnsi="Calibri"/>
                <w:sz w:val="22"/>
                <w:szCs w:val="22"/>
              </w:rPr>
            </w:pPr>
            <w:r>
              <w:rPr>
                <w:rFonts w:ascii="Calibri" w:hAnsi="Calibri"/>
                <w:sz w:val="22"/>
                <w:szCs w:val="22"/>
              </w:rPr>
              <w:t>64</w:t>
            </w:r>
          </w:p>
        </w:tc>
      </w:tr>
    </w:tbl>
    <w:p w:rsidR="002A52A7" w:rsidRDefault="002A52A7" w:rsidP="002A52A7">
      <w:pPr>
        <w:jc w:val="both"/>
        <w:rPr>
          <w:rFonts w:ascii="Calibri" w:hAnsi="Calibri"/>
          <w:b/>
          <w:sz w:val="22"/>
          <w:szCs w:val="22"/>
        </w:rPr>
      </w:pPr>
    </w:p>
    <w:p w:rsidR="002A52A7" w:rsidRDefault="002A52A7" w:rsidP="002A52A7">
      <w:pPr>
        <w:jc w:val="both"/>
        <w:rPr>
          <w:rFonts w:ascii="Calibri" w:hAnsi="Calibri"/>
          <w:b/>
          <w:sz w:val="22"/>
          <w:szCs w:val="22"/>
        </w:rPr>
      </w:pPr>
    </w:p>
    <w:p w:rsidR="002A52A7" w:rsidRDefault="002A52A7" w:rsidP="002A52A7">
      <w:pPr>
        <w:jc w:val="both"/>
        <w:rPr>
          <w:rFonts w:ascii="Calibri" w:hAnsi="Calibri"/>
          <w:b/>
          <w:sz w:val="22"/>
          <w:szCs w:val="22"/>
        </w:rPr>
      </w:pPr>
      <w:r>
        <w:rPr>
          <w:rFonts w:ascii="Calibri" w:hAnsi="Calibri"/>
          <w:b/>
          <w:sz w:val="22"/>
          <w:szCs w:val="22"/>
        </w:rPr>
        <w:t>Accommodation</w:t>
      </w:r>
    </w:p>
    <w:p w:rsidR="002A52A7" w:rsidRDefault="002A52A7" w:rsidP="002A52A7">
      <w:pPr>
        <w:jc w:val="both"/>
        <w:rPr>
          <w:rFonts w:ascii="Calibri" w:hAnsi="Calibri"/>
          <w:b/>
          <w:sz w:val="22"/>
          <w:szCs w:val="22"/>
        </w:rPr>
      </w:pPr>
    </w:p>
    <w:p w:rsidR="002A52A7" w:rsidRDefault="005030C1" w:rsidP="002A52A7">
      <w:pPr>
        <w:jc w:val="both"/>
        <w:rPr>
          <w:rFonts w:ascii="Calibri" w:hAnsi="Calibri"/>
          <w:sz w:val="22"/>
          <w:szCs w:val="22"/>
        </w:rPr>
      </w:pPr>
      <w:r>
        <w:rPr>
          <w:rFonts w:ascii="Calibri" w:hAnsi="Calibri"/>
          <w:sz w:val="22"/>
          <w:szCs w:val="22"/>
        </w:rPr>
        <w:t xml:space="preserve">Psychology is taught in four </w:t>
      </w:r>
      <w:r w:rsidR="002A52A7">
        <w:rPr>
          <w:rFonts w:ascii="Calibri" w:hAnsi="Calibri"/>
          <w:sz w:val="22"/>
          <w:szCs w:val="22"/>
        </w:rPr>
        <w:t>dedicated classroom</w:t>
      </w:r>
      <w:r>
        <w:rPr>
          <w:rFonts w:ascii="Calibri" w:hAnsi="Calibri"/>
          <w:sz w:val="22"/>
          <w:szCs w:val="22"/>
        </w:rPr>
        <w:t>s</w:t>
      </w:r>
      <w:r w:rsidR="002A52A7">
        <w:rPr>
          <w:rFonts w:ascii="Calibri" w:hAnsi="Calibri"/>
          <w:sz w:val="22"/>
          <w:szCs w:val="22"/>
        </w:rPr>
        <w:t xml:space="preserve"> which </w:t>
      </w:r>
      <w:r>
        <w:rPr>
          <w:rFonts w:ascii="Calibri" w:hAnsi="Calibri"/>
          <w:sz w:val="22"/>
          <w:szCs w:val="22"/>
        </w:rPr>
        <w:t>are</w:t>
      </w:r>
      <w:r w:rsidR="002A52A7">
        <w:rPr>
          <w:rFonts w:ascii="Calibri" w:hAnsi="Calibri"/>
          <w:sz w:val="22"/>
          <w:szCs w:val="22"/>
        </w:rPr>
        <w:t xml:space="preserve"> both purposeful and well resourced. Classroom displays are regularly updated and add to the enjoyment and positive experience of the subject.</w:t>
      </w:r>
    </w:p>
    <w:p w:rsidR="002A52A7" w:rsidRDefault="002A52A7" w:rsidP="002A52A7">
      <w:pPr>
        <w:jc w:val="both"/>
        <w:rPr>
          <w:rFonts w:ascii="Calibri" w:hAnsi="Calibri"/>
          <w:b/>
          <w:sz w:val="22"/>
          <w:szCs w:val="22"/>
        </w:rPr>
      </w:pPr>
    </w:p>
    <w:p w:rsidR="008443FC" w:rsidRDefault="008443FC"/>
    <w:sectPr w:rsidR="00844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A7"/>
    <w:rsid w:val="001048D6"/>
    <w:rsid w:val="002A52A7"/>
    <w:rsid w:val="005030C1"/>
    <w:rsid w:val="008443FC"/>
    <w:rsid w:val="00DA566A"/>
    <w:rsid w:val="00EB4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60F47-2E67-4ACD-8D40-C0ED7B83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A7"/>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A52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2"/>
      <w:szCs w:val="22"/>
      <w:lang w:eastAsia="en-US"/>
    </w:rPr>
  </w:style>
  <w:style w:type="character" w:customStyle="1" w:styleId="BodyTextChar">
    <w:name w:val="Body Text Char"/>
    <w:basedOn w:val="DefaultParagraphFont"/>
    <w:link w:val="BodyText"/>
    <w:semiHidden/>
    <w:rsid w:val="002A52A7"/>
    <w:rPr>
      <w:rFonts w:ascii="Arial" w:eastAsia="Times New Roman" w:hAnsi="Arial" w:cs="Arial"/>
    </w:rPr>
  </w:style>
  <w:style w:type="paragraph" w:styleId="BodyTextIndent">
    <w:name w:val="Body Text Indent"/>
    <w:basedOn w:val="Normal"/>
    <w:link w:val="BodyTextIndentChar"/>
    <w:semiHidden/>
    <w:unhideWhenUsed/>
    <w:rsid w:val="002A52A7"/>
    <w:pPr>
      <w:spacing w:after="120"/>
      <w:ind w:left="283"/>
    </w:pPr>
  </w:style>
  <w:style w:type="character" w:customStyle="1" w:styleId="BodyTextIndentChar">
    <w:name w:val="Body Text Indent Char"/>
    <w:basedOn w:val="DefaultParagraphFont"/>
    <w:link w:val="BodyTextIndent"/>
    <w:semiHidden/>
    <w:rsid w:val="002A52A7"/>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Huffer, Chris</dc:creator>
  <cp:keywords/>
  <dc:description/>
  <cp:lastModifiedBy>Sheen, Jeremy</cp:lastModifiedBy>
  <cp:revision>2</cp:revision>
  <dcterms:created xsi:type="dcterms:W3CDTF">2018-01-23T10:55:00Z</dcterms:created>
  <dcterms:modified xsi:type="dcterms:W3CDTF">2018-01-23T10:55:00Z</dcterms:modified>
</cp:coreProperties>
</file>