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d34817" w:space="0" w:sz="6" w:val="single"/>
          <w:left w:color="d34817" w:space="0" w:sz="6" w:val="single"/>
          <w:bottom w:color="d34817" w:space="0" w:sz="6" w:val="single"/>
          <w:right w:color="d34817" w:space="0" w:sz="6" w:val="single"/>
          <w:insideH w:color="d34817" w:space="0" w:sz="6" w:val="single"/>
          <w:insideV w:color="d34817" w:space="0" w:sz="6" w:val="single"/>
        </w:tblBorders>
        <w:tblLayout w:type="fixed"/>
        <w:tblLook w:val="0400"/>
      </w:tblPr>
      <w:tblGrid>
        <w:gridCol w:w="2546"/>
        <w:gridCol w:w="4585"/>
        <w:gridCol w:w="1770"/>
        <w:gridCol w:w="1549"/>
        <w:tblGridChange w:id="0">
          <w:tblGrid>
            <w:gridCol w:w="2546"/>
            <w:gridCol w:w="4585"/>
            <w:gridCol w:w="1770"/>
            <w:gridCol w:w="1549"/>
          </w:tblGrid>
        </w:tblGridChange>
      </w:tblGrid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3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SUBJECT TEACHER JOB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ACCOUNTABLE TO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Head of Department and through him/her to a designated Head of Faculty, Deputy/Assistant Head and the Head of School/Executive Head Teacher.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Permanent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ensure the standards of teaching is consistently good or better.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ensure students meet their progress and attainments targets.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Key Area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Responsibility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Carry out all duties and responsibilities in accordance with School policies and procedures and statutory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 high standards of teaching and learning within your classes, ensuring effective tracking and monitoring takes place at all times.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contribute to the needs of the department as outlined by the Head of Department.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Areas of Accountability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Through effective teaching and learning students achieve their best possible outcomes, ensuring their progress and attainment reaches or exceeds expected levels.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ensure the Department budget and resources are effectively managed.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Keeping up to date with national requirements with regard to t &amp; l (DfE / Ofsted guidance).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Pedagogic research and development to improve the standard of teaching.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 and participate in further training and professional development including those aimed at meeting the need identified in performance objectives or in performance statements.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Discipline, health and safety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Maintain good order and discipline and safeguard the health and safety among students both within the classroom, school premises and when they are engaged in authorised school activities elsewhere.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work in accordance with the guidelines set out in the school Health and safety policy and specific faculty areas.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Examinations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 in arrangements for preparing students for external/internal examinations, in assessing students for the purpose of such examinations.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General Responsibilities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Promote the school’s values and ethos in accordance with the School’s Professional Code.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actively to develop professional expertise by participating in ongoing professional development.</w:t>
            </w:r>
          </w:p>
        </w:tc>
      </w:tr>
      <w:tr>
        <w:trPr>
          <w:trHeight w:val="26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Review of job description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of School/Executive Head Teacher. It may be subject to modification and amendment at any time after consultation with the post holder.</w:t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Signed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Signed appraiser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 byExecutive Head Teacher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720" w:top="720" w:left="720" w:right="720" w:header="1757" w:footer="10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-1190624</wp:posOffset>
          </wp:positionV>
          <wp:extent cx="7562485" cy="1883696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485" cy="188369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-1188402</wp:posOffset>
          </wp:positionV>
          <wp:extent cx="7562485" cy="1883696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485" cy="188369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-762634</wp:posOffset>
          </wp:positionV>
          <wp:extent cx="1581150" cy="781050"/>
          <wp:effectExtent b="0" l="0" r="0" t="0"/>
          <wp:wrapNone/>
          <wp:docPr descr="V:\Meadow\Final Logos\Cleeve Park Final (Small).jpg" id="7" name="image1.jpg"/>
          <a:graphic>
            <a:graphicData uri="http://schemas.openxmlformats.org/drawingml/2006/picture">
              <pic:pic>
                <pic:nvPicPr>
                  <pic:cNvPr descr="V:\Meadow\Final Logos\Cleeve Park Final (Small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Classic1">
    <w:name w:val="Table Classic 1"/>
    <w:basedOn w:val="TableNormal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yperlink">
    <w:name w:val="Hyperlink"/>
    <w:basedOn w:val="DefaultParagraphFont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BodyText">
    <w:name w:val="Body Text"/>
    <w:basedOn w:val="Normal"/>
    <w:link w:val="BodyTextChar"/>
    <w:rsid w:val="006273FB"/>
    <w:rPr>
      <w:sz w:val="22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6273FB"/>
    <w:rPr>
      <w:sz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z2UtQLb22nw5tfvsRSjrPRxKA==">AMUW2mVuoeKymOjw1UiPF7AYXTLjtfm0kpAAIKlPtUfE+UeAoP7p1rTp0yWKicayqF+aW5CVRETlry70IgSkm3TKpB9pk2BSyaGeFKYn/UvGBBuyUgeqJG9ZKMlTyWb1aiewbyk/uolL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2021-02-22T15:28:00Z</dcterms:created>
  <dc:creator>Ockelford</dc:creator>
</cp:coreProperties>
</file>