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spacing w:line="360" w:lineRule="auto"/>
        <w:rPr>
          <w:color w:val="000000" w:themeColor="text1"/>
        </w:rPr>
      </w:pPr>
      <w:r>
        <w:rPr>
          <w:b/>
        </w:rPr>
        <w:t xml:space="preserve">Post title: </w:t>
      </w:r>
      <w:r>
        <w:rPr>
          <w:bCs/>
          <w:sz w:val="22"/>
          <w:szCs w:val="22"/>
        </w:rPr>
        <w:t>Exam Access Arrangements Co-ordinator</w:t>
      </w:r>
      <w:r>
        <w:rPr>
          <w:b/>
          <w:bCs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– Teaching Assistant Level 4</w:t>
      </w:r>
      <w:r>
        <w:rPr>
          <w:color w:val="000000" w:themeColor="text1"/>
        </w:rPr>
        <w:t xml:space="preserve"> </w:t>
      </w:r>
    </w:p>
    <w:p>
      <w:pPr>
        <w:rPr>
          <w:b/>
        </w:rPr>
      </w:pPr>
      <w:r>
        <w:rPr>
          <w:b/>
        </w:rPr>
        <w:t xml:space="preserve">Person Specification  </w:t>
      </w:r>
    </w:p>
    <w:p>
      <w:r>
        <w:t xml:space="preserve">The post holder is required to be flexible and adapt to any conflicting and changing priorities adjusting their workload to meet daily requirements for the role.  </w:t>
      </w:r>
    </w:p>
    <w:p>
      <w:pPr>
        <w:rPr>
          <w:b/>
        </w:rPr>
      </w:pPr>
      <w:r>
        <w:t xml:space="preserve">The post holder is required to make frequent decisions that may have an impact on the work environment.  Decisions are usually made around the </w:t>
      </w:r>
      <w:proofErr w:type="gramStart"/>
      <w:r>
        <w:t>work load</w:t>
      </w:r>
      <w:proofErr w:type="gramEnd"/>
      <w:r>
        <w:t xml:space="preserve"> and changing and conflicting priorities</w:t>
      </w:r>
      <w:r>
        <w:rPr>
          <w:b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3412"/>
        <w:gridCol w:w="3005"/>
      </w:tblGrid>
      <w:tr>
        <w:tc>
          <w:tcPr>
            <w:tcW w:w="3078" w:type="dxa"/>
            <w:shd w:val="clear" w:color="auto" w:fill="C0000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KEY CRITERIA</w:t>
            </w:r>
          </w:p>
        </w:tc>
        <w:tc>
          <w:tcPr>
            <w:tcW w:w="4097" w:type="dxa"/>
            <w:shd w:val="clear" w:color="auto" w:fill="C0000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3588" w:type="dxa"/>
            <w:shd w:val="clear" w:color="auto" w:fill="C0000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c>
          <w:tcPr>
            <w:tcW w:w="3078" w:type="dxa"/>
          </w:tcPr>
          <w:p>
            <w:r>
              <w:t>Qualifications and Training</w:t>
            </w:r>
          </w:p>
        </w:tc>
        <w:tc>
          <w:tcPr>
            <w:tcW w:w="4097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4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Level 2 or higher qualification in English / Literacy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4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Level 2 or higher qualification in Maths / Numeracy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42"/>
            </w:pPr>
            <w:r>
              <w:rPr>
                <w:rFonts w:ascii="Calibri" w:hAnsi="Calibri" w:cs="Arial"/>
              </w:rPr>
              <w:t>Higher Level Teaching Assistant Qualification</w:t>
            </w:r>
            <w:r>
              <w:rPr>
                <w:rFonts w:ascii="Calibri" w:hAnsi="Calibri" w:cs="Arial"/>
                <w:i/>
              </w:rPr>
              <w:t xml:space="preserve"> or willingness to accept contractual agreement to complete the course within 18 months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42"/>
              <w:rPr>
                <w:i/>
              </w:rPr>
            </w:pPr>
            <w:r>
              <w:rPr>
                <w:rFonts w:ascii="Calibri" w:hAnsi="Calibri" w:cs="Arial"/>
                <w:i/>
              </w:rPr>
              <w:t xml:space="preserve"> </w:t>
            </w:r>
            <w:r>
              <w:rPr>
                <w:rFonts w:ascii="Calibri" w:hAnsi="Calibri" w:cs="Arial"/>
              </w:rPr>
              <w:t xml:space="preserve">12 months working experience </w:t>
            </w:r>
            <w:r>
              <w:rPr>
                <w:rFonts w:ascii="Calibri" w:hAnsi="Calibri" w:cs="Arial"/>
                <w:i/>
              </w:rPr>
              <w:t xml:space="preserve">or </w:t>
            </w:r>
            <w:r>
              <w:rPr>
                <w:i/>
              </w:rPr>
              <w:t xml:space="preserve">Willingness to undertake training and development relating to the role, ensuring awareness of changes in JCQ regulations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 months working experience of maintaining and/or producing provision maps for whole school, identified groups and/or individual students</w:t>
            </w:r>
          </w:p>
        </w:tc>
        <w:tc>
          <w:tcPr>
            <w:tcW w:w="3588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1" w:hanging="23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Continuous professional development in a relevant discipline</w:t>
            </w:r>
          </w:p>
          <w:p>
            <w:pPr>
              <w:pStyle w:val="ListParagraph"/>
              <w:ind w:left="231"/>
            </w:pPr>
          </w:p>
        </w:tc>
      </w:tr>
      <w:tr>
        <w:tc>
          <w:tcPr>
            <w:tcW w:w="3078" w:type="dxa"/>
          </w:tcPr>
          <w:p>
            <w:pPr>
              <w:rPr>
                <w:b/>
              </w:rPr>
            </w:pPr>
            <w:r>
              <w:t>Competence Summary (Knowledge, abilities, skills, experience)</w:t>
            </w:r>
          </w:p>
        </w:tc>
        <w:tc>
          <w:tcPr>
            <w:tcW w:w="4097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Working alongside young people with special educational needs in an educational setting for a minimum of 2 years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Working practice of full compliancy with exam board/s and JCQ regulations, including planning and coordinating access arrangements for those students found on the SEN/D register. 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maintain and/or producing provision maps for whole school, identified groups and/or individual students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Preparing resources to support learning programmes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Working effectively within a team environment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Programme planning for students with special educational needs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Conflict resolution</w:t>
            </w:r>
          </w:p>
        </w:tc>
        <w:tc>
          <w:tcPr>
            <w:tcW w:w="3588" w:type="dxa"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1" w:hanging="23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Working at Teaching Assistant level 3 or 4 in a secondary school environment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1" w:hanging="23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Line management of Teaching Assistants</w:t>
            </w:r>
          </w:p>
          <w:p>
            <w:pPr>
              <w:pStyle w:val="ListParagraph"/>
              <w:ind w:left="231"/>
              <w:rPr>
                <w:b/>
              </w:rPr>
            </w:pPr>
          </w:p>
        </w:tc>
      </w:tr>
      <w:tr>
        <w:tc>
          <w:tcPr>
            <w:tcW w:w="3078" w:type="dxa"/>
          </w:tcPr>
          <w:p>
            <w:pPr>
              <w:rPr>
                <w:b/>
              </w:rPr>
            </w:pPr>
            <w:r>
              <w:t>Work-related Personal Requirements</w:t>
            </w:r>
          </w:p>
        </w:tc>
        <w:tc>
          <w:tcPr>
            <w:tcW w:w="4097" w:type="dxa"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SEN care and service provision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Learning programmes and strategies for young people with special educational needs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Educational Health Care Plans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 policies, procedures &amp; codes of practice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Child development, learning and inclusion within mainstream education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Classroom roles and responsibilities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Safeguarding of children &amp; young people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hanging="132"/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Confidentiality and Data Protection</w:t>
            </w:r>
          </w:p>
        </w:tc>
        <w:tc>
          <w:tcPr>
            <w:tcW w:w="3588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078" w:type="dxa"/>
          </w:tcPr>
          <w:p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Personal Attributes</w:t>
            </w:r>
          </w:p>
          <w:p>
            <w:pPr>
              <w:rPr>
                <w:b/>
              </w:rPr>
            </w:pPr>
          </w:p>
        </w:tc>
        <w:tc>
          <w:tcPr>
            <w:tcW w:w="4097" w:type="dxa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rPr>
                <w:rFonts w:ascii="Calibri" w:hAnsi="Calibri" w:cs="Arial"/>
              </w:rPr>
              <w:t>Provision mapping experience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Dedicated professional who is committed to the role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>Energetic and enthusiastic with an excellent sense of humour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Excellent attendance and punctuality record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Excellent verbal, written communication and IT skills Knowledge and experience of using a range of Microsoft Office applications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Highly organised, with excellent time management skills and able to perform under pressure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Ability to work independently as well as in a team; proactive, and able to take initiative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Able to form positive links with a range of key stakeholders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Always prepared to put the students’ needs first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>Awareness of and commitment to Equal Opportunities; a commitment to working with students from diverse backgrounds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193"/>
              </w:tabs>
              <w:spacing w:after="70" w:line="240" w:lineRule="auto"/>
              <w:ind w:left="193" w:hanging="180"/>
            </w:pPr>
            <w:r>
              <w:t xml:space="preserve">A ‘can do’ approach: open and constructive, accepting of feedback and willing to learn </w:t>
            </w:r>
          </w:p>
        </w:tc>
        <w:tc>
          <w:tcPr>
            <w:tcW w:w="3588" w:type="dxa"/>
          </w:tcPr>
          <w:p>
            <w:pPr>
              <w:rPr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C17"/>
    <w:multiLevelType w:val="hybridMultilevel"/>
    <w:tmpl w:val="18AC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23B2"/>
    <w:multiLevelType w:val="hybridMultilevel"/>
    <w:tmpl w:val="2EBE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0ACC"/>
    <w:multiLevelType w:val="hybridMultilevel"/>
    <w:tmpl w:val="C18E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EF53-CE65-4883-A358-FC82E4B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81DF0C20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KMassey</dc:creator>
  <cp:keywords/>
  <dc:description/>
  <cp:lastModifiedBy>KMassey</cp:lastModifiedBy>
  <cp:revision>1</cp:revision>
  <dcterms:created xsi:type="dcterms:W3CDTF">2019-01-08T09:54:00Z</dcterms:created>
  <dcterms:modified xsi:type="dcterms:W3CDTF">2019-01-08T09:56:00Z</dcterms:modified>
</cp:coreProperties>
</file>