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E6B1" w14:textId="77777777" w:rsidR="00853516" w:rsidRPr="00846DED" w:rsidRDefault="00853516">
      <w:pPr>
        <w:spacing w:line="216" w:lineRule="auto"/>
        <w:rPr>
          <w:rFonts w:asciiTheme="majorHAnsi" w:eastAsia="Sora" w:hAnsiTheme="majorHAnsi" w:cstheme="majorHAnsi"/>
          <w:b/>
          <w:color w:val="005F6B"/>
          <w:sz w:val="24"/>
          <w:szCs w:val="24"/>
        </w:rPr>
      </w:pPr>
    </w:p>
    <w:p w14:paraId="20F004FF" w14:textId="77777777" w:rsidR="00853516" w:rsidRPr="00846DED" w:rsidRDefault="00FF3129">
      <w:pPr>
        <w:spacing w:line="216" w:lineRule="auto"/>
        <w:rPr>
          <w:rFonts w:asciiTheme="majorHAnsi" w:eastAsia="Sora" w:hAnsiTheme="majorHAnsi" w:cstheme="majorHAnsi"/>
          <w:b/>
          <w:color w:val="005F6B"/>
          <w:sz w:val="24"/>
          <w:szCs w:val="24"/>
        </w:rPr>
      </w:pPr>
      <w:r w:rsidRPr="00846DED">
        <w:rPr>
          <w:rFonts w:asciiTheme="majorHAnsi" w:eastAsia="Sora" w:hAnsiTheme="majorHAnsi" w:cstheme="majorHAnsi"/>
          <w:b/>
          <w:noProof/>
          <w:color w:val="005F6B"/>
          <w:sz w:val="24"/>
          <w:szCs w:val="24"/>
        </w:rPr>
        <w:drawing>
          <wp:anchor distT="114300" distB="114300" distL="114300" distR="114300" simplePos="0" relativeHeight="251658240" behindDoc="0" locked="0" layoutInCell="1" hidden="0" allowOverlap="1" wp14:anchorId="00B7D105" wp14:editId="26DA6EC1">
            <wp:simplePos x="0" y="0"/>
            <wp:positionH relativeFrom="page">
              <wp:posOffset>4677825</wp:posOffset>
            </wp:positionH>
            <wp:positionV relativeFrom="page">
              <wp:posOffset>540000</wp:posOffset>
            </wp:positionV>
            <wp:extent cx="2160000" cy="8462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60000" cy="846295"/>
                    </a:xfrm>
                    <a:prstGeom prst="rect">
                      <a:avLst/>
                    </a:prstGeom>
                    <a:ln/>
                  </pic:spPr>
                </pic:pic>
              </a:graphicData>
            </a:graphic>
          </wp:anchor>
        </w:drawing>
      </w:r>
    </w:p>
    <w:p w14:paraId="32FC654F" w14:textId="77777777" w:rsidR="00853516" w:rsidRPr="00846DED" w:rsidRDefault="00FF3129">
      <w:pPr>
        <w:spacing w:line="216"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Job Description</w:t>
      </w:r>
    </w:p>
    <w:tbl>
      <w:tblPr>
        <w:tblStyle w:val="a"/>
        <w:tblW w:w="9643" w:type="dxa"/>
        <w:tblBorders>
          <w:top w:val="single" w:sz="4" w:space="0" w:color="005F6B"/>
          <w:left w:val="single" w:sz="4" w:space="0" w:color="005F6B"/>
          <w:bottom w:val="single" w:sz="4" w:space="0" w:color="005F6B"/>
          <w:right w:val="single" w:sz="4" w:space="0" w:color="005F6B"/>
          <w:insideH w:val="single" w:sz="4" w:space="0" w:color="005F6B"/>
          <w:insideV w:val="single" w:sz="4" w:space="0" w:color="005F6B"/>
        </w:tblBorders>
        <w:tblLayout w:type="fixed"/>
        <w:tblLook w:val="0600" w:firstRow="0" w:lastRow="0" w:firstColumn="0" w:lastColumn="0" w:noHBand="1" w:noVBand="1"/>
      </w:tblPr>
      <w:tblGrid>
        <w:gridCol w:w="9643"/>
      </w:tblGrid>
      <w:tr w:rsidR="00853516" w:rsidRPr="00846DED" w14:paraId="52809025" w14:textId="77777777">
        <w:trPr>
          <w:trHeight w:val="283"/>
        </w:trPr>
        <w:tc>
          <w:tcPr>
            <w:tcW w:w="9643" w:type="dxa"/>
            <w:tcBorders>
              <w:top w:val="nil"/>
              <w:left w:val="nil"/>
              <w:bottom w:val="single" w:sz="6" w:space="0" w:color="005F6B"/>
              <w:right w:val="nil"/>
            </w:tcBorders>
            <w:shd w:val="clear" w:color="auto" w:fill="auto"/>
            <w:tcMar>
              <w:top w:w="100" w:type="dxa"/>
              <w:left w:w="100" w:type="dxa"/>
              <w:bottom w:w="100" w:type="dxa"/>
              <w:right w:w="100" w:type="dxa"/>
            </w:tcMar>
          </w:tcPr>
          <w:p w14:paraId="17C743CB" w14:textId="77777777" w:rsidR="00853516" w:rsidRPr="00846DED" w:rsidRDefault="00853516">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p>
        </w:tc>
      </w:tr>
    </w:tbl>
    <w:p w14:paraId="2926CDA2" w14:textId="77777777" w:rsidR="00853516" w:rsidRPr="00846DED" w:rsidRDefault="00853516">
      <w:pPr>
        <w:rPr>
          <w:rFonts w:asciiTheme="majorHAnsi" w:eastAsia="Sora" w:hAnsiTheme="majorHAnsi" w:cstheme="majorHAnsi"/>
          <w:b/>
          <w:color w:val="005F6B"/>
          <w:sz w:val="24"/>
          <w:szCs w:val="24"/>
        </w:rPr>
      </w:pPr>
    </w:p>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915"/>
      </w:tblGrid>
      <w:tr w:rsidR="00853516" w:rsidRPr="00846DED" w14:paraId="5BC8D7E7" w14:textId="77777777">
        <w:tc>
          <w:tcPr>
            <w:tcW w:w="2685" w:type="dxa"/>
            <w:shd w:val="clear" w:color="auto" w:fill="auto"/>
            <w:tcMar>
              <w:top w:w="79" w:type="dxa"/>
              <w:left w:w="79" w:type="dxa"/>
              <w:bottom w:w="79" w:type="dxa"/>
              <w:right w:w="79" w:type="dxa"/>
            </w:tcMar>
          </w:tcPr>
          <w:p w14:paraId="50AB92CC" w14:textId="77777777" w:rsidR="00853516" w:rsidRPr="00846DED" w:rsidRDefault="00FF3129">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Job Title</w:t>
            </w:r>
          </w:p>
        </w:tc>
        <w:tc>
          <w:tcPr>
            <w:tcW w:w="6915" w:type="dxa"/>
            <w:shd w:val="clear" w:color="auto" w:fill="auto"/>
            <w:tcMar>
              <w:top w:w="79" w:type="dxa"/>
              <w:left w:w="79" w:type="dxa"/>
              <w:bottom w:w="79" w:type="dxa"/>
              <w:right w:w="79" w:type="dxa"/>
            </w:tcMar>
          </w:tcPr>
          <w:p w14:paraId="612B78DE" w14:textId="238E0E7F" w:rsidR="00853516" w:rsidRPr="00846DED" w:rsidRDefault="00AA7A31">
            <w:pPr>
              <w:widowControl w:val="0"/>
              <w:pBdr>
                <w:top w:val="nil"/>
                <w:left w:val="nil"/>
                <w:bottom w:val="nil"/>
                <w:right w:val="nil"/>
                <w:between w:val="nil"/>
              </w:pBdr>
              <w:spacing w:line="240" w:lineRule="auto"/>
              <w:rPr>
                <w:rFonts w:asciiTheme="majorHAnsi" w:hAnsiTheme="majorHAnsi" w:cstheme="majorHAnsi"/>
                <w:b/>
                <w:sz w:val="24"/>
                <w:szCs w:val="24"/>
              </w:rPr>
            </w:pPr>
            <w:r w:rsidRPr="00846DED">
              <w:rPr>
                <w:rFonts w:asciiTheme="majorHAnsi" w:hAnsiTheme="majorHAnsi" w:cstheme="majorHAnsi"/>
                <w:b/>
                <w:sz w:val="24"/>
                <w:szCs w:val="24"/>
              </w:rPr>
              <w:t xml:space="preserve">HLTA </w:t>
            </w:r>
            <w:r w:rsidR="00BD231F" w:rsidRPr="00846DED">
              <w:rPr>
                <w:rFonts w:asciiTheme="majorHAnsi" w:hAnsiTheme="majorHAnsi" w:cstheme="majorHAnsi"/>
                <w:b/>
                <w:sz w:val="24"/>
                <w:szCs w:val="24"/>
              </w:rPr>
              <w:t>–</w:t>
            </w:r>
            <w:r w:rsidRPr="00846DED">
              <w:rPr>
                <w:rFonts w:asciiTheme="majorHAnsi" w:hAnsiTheme="majorHAnsi" w:cstheme="majorHAnsi"/>
                <w:b/>
                <w:sz w:val="24"/>
                <w:szCs w:val="24"/>
              </w:rPr>
              <w:t xml:space="preserve"> </w:t>
            </w:r>
            <w:r w:rsidR="006F61FD" w:rsidRPr="00846DED">
              <w:rPr>
                <w:rFonts w:asciiTheme="majorHAnsi" w:hAnsiTheme="majorHAnsi" w:cstheme="majorHAnsi"/>
                <w:b/>
                <w:sz w:val="24"/>
                <w:szCs w:val="24"/>
              </w:rPr>
              <w:t>Numeracy</w:t>
            </w:r>
            <w:r w:rsidR="00BD231F" w:rsidRPr="00846DED">
              <w:rPr>
                <w:rFonts w:asciiTheme="majorHAnsi" w:hAnsiTheme="majorHAnsi" w:cstheme="majorHAnsi"/>
                <w:b/>
                <w:sz w:val="24"/>
                <w:szCs w:val="24"/>
              </w:rPr>
              <w:t xml:space="preserve"> </w:t>
            </w:r>
          </w:p>
        </w:tc>
      </w:tr>
      <w:tr w:rsidR="00853516" w:rsidRPr="00846DED" w14:paraId="73A52E79" w14:textId="77777777">
        <w:tc>
          <w:tcPr>
            <w:tcW w:w="2685" w:type="dxa"/>
            <w:shd w:val="clear" w:color="auto" w:fill="auto"/>
            <w:tcMar>
              <w:top w:w="79" w:type="dxa"/>
              <w:left w:w="79" w:type="dxa"/>
              <w:bottom w:w="79" w:type="dxa"/>
              <w:right w:w="79" w:type="dxa"/>
            </w:tcMar>
          </w:tcPr>
          <w:p w14:paraId="430FB167" w14:textId="77777777" w:rsidR="00853516" w:rsidRPr="00846DED" w:rsidRDefault="00FF3129">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Grade &amp; Salary</w:t>
            </w:r>
          </w:p>
        </w:tc>
        <w:tc>
          <w:tcPr>
            <w:tcW w:w="6915" w:type="dxa"/>
            <w:shd w:val="clear" w:color="auto" w:fill="auto"/>
            <w:tcMar>
              <w:top w:w="79" w:type="dxa"/>
              <w:left w:w="79" w:type="dxa"/>
              <w:bottom w:w="79" w:type="dxa"/>
              <w:right w:w="79" w:type="dxa"/>
            </w:tcMar>
          </w:tcPr>
          <w:p w14:paraId="4C159941" w14:textId="061F764D" w:rsidR="00853516" w:rsidRPr="00846DED" w:rsidRDefault="001E7D4E">
            <w:pPr>
              <w:widowControl w:val="0"/>
              <w:pBdr>
                <w:top w:val="nil"/>
                <w:left w:val="nil"/>
                <w:bottom w:val="nil"/>
                <w:right w:val="nil"/>
                <w:between w:val="nil"/>
              </w:pBdr>
              <w:spacing w:line="240" w:lineRule="auto"/>
              <w:rPr>
                <w:rFonts w:asciiTheme="majorHAnsi" w:hAnsiTheme="majorHAnsi" w:cstheme="majorHAnsi"/>
                <w:b/>
                <w:sz w:val="24"/>
                <w:szCs w:val="24"/>
              </w:rPr>
            </w:pPr>
            <w:r w:rsidRPr="00846DED">
              <w:rPr>
                <w:rFonts w:asciiTheme="majorHAnsi" w:hAnsiTheme="majorHAnsi" w:cstheme="majorHAnsi"/>
                <w:b/>
                <w:sz w:val="24"/>
                <w:szCs w:val="24"/>
              </w:rPr>
              <w:t>26 – 31 (</w:t>
            </w:r>
            <w:r w:rsidR="0072285C" w:rsidRPr="00846DED">
              <w:rPr>
                <w:rFonts w:asciiTheme="majorHAnsi" w:hAnsiTheme="majorHAnsi" w:cstheme="majorHAnsi"/>
                <w:b/>
                <w:sz w:val="24"/>
                <w:szCs w:val="24"/>
              </w:rPr>
              <w:t>£</w:t>
            </w:r>
            <w:r w:rsidR="006F3C97" w:rsidRPr="00846DED">
              <w:rPr>
                <w:rFonts w:asciiTheme="majorHAnsi" w:hAnsiTheme="majorHAnsi" w:cstheme="majorHAnsi"/>
                <w:b/>
                <w:sz w:val="24"/>
                <w:szCs w:val="24"/>
              </w:rPr>
              <w:t>24,561</w:t>
            </w:r>
            <w:r w:rsidRPr="00846DED">
              <w:rPr>
                <w:rFonts w:asciiTheme="majorHAnsi" w:hAnsiTheme="majorHAnsi" w:cstheme="majorHAnsi"/>
                <w:b/>
                <w:sz w:val="24"/>
                <w:szCs w:val="24"/>
              </w:rPr>
              <w:t xml:space="preserve"> – </w:t>
            </w:r>
            <w:r w:rsidR="0072285C" w:rsidRPr="00846DED">
              <w:rPr>
                <w:rFonts w:asciiTheme="majorHAnsi" w:hAnsiTheme="majorHAnsi" w:cstheme="majorHAnsi"/>
                <w:b/>
                <w:sz w:val="24"/>
                <w:szCs w:val="24"/>
              </w:rPr>
              <w:t>£</w:t>
            </w:r>
            <w:r w:rsidRPr="00846DED">
              <w:rPr>
                <w:rFonts w:asciiTheme="majorHAnsi" w:hAnsiTheme="majorHAnsi" w:cstheme="majorHAnsi"/>
                <w:b/>
                <w:sz w:val="24"/>
                <w:szCs w:val="24"/>
              </w:rPr>
              <w:t>2</w:t>
            </w:r>
            <w:r w:rsidR="006F3C97" w:rsidRPr="00846DED">
              <w:rPr>
                <w:rFonts w:asciiTheme="majorHAnsi" w:hAnsiTheme="majorHAnsi" w:cstheme="majorHAnsi"/>
                <w:b/>
                <w:sz w:val="24"/>
                <w:szCs w:val="24"/>
              </w:rPr>
              <w:t>8,678</w:t>
            </w:r>
            <w:r w:rsidRPr="00846DED">
              <w:rPr>
                <w:rFonts w:asciiTheme="majorHAnsi" w:hAnsiTheme="majorHAnsi" w:cstheme="majorHAnsi"/>
                <w:b/>
                <w:sz w:val="24"/>
                <w:szCs w:val="24"/>
              </w:rPr>
              <w:t>)</w:t>
            </w:r>
          </w:p>
        </w:tc>
      </w:tr>
      <w:tr w:rsidR="00853516" w:rsidRPr="00846DED" w14:paraId="0FCD0F37" w14:textId="77777777">
        <w:tc>
          <w:tcPr>
            <w:tcW w:w="2685" w:type="dxa"/>
            <w:shd w:val="clear" w:color="auto" w:fill="auto"/>
            <w:tcMar>
              <w:top w:w="79" w:type="dxa"/>
              <w:left w:w="79" w:type="dxa"/>
              <w:bottom w:w="79" w:type="dxa"/>
              <w:right w:w="79" w:type="dxa"/>
            </w:tcMar>
          </w:tcPr>
          <w:p w14:paraId="22F4CC53" w14:textId="77777777" w:rsidR="00853516" w:rsidRPr="00846DED" w:rsidRDefault="00FF3129">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Reporting to</w:t>
            </w:r>
          </w:p>
        </w:tc>
        <w:tc>
          <w:tcPr>
            <w:tcW w:w="6915" w:type="dxa"/>
            <w:shd w:val="clear" w:color="auto" w:fill="auto"/>
            <w:tcMar>
              <w:top w:w="79" w:type="dxa"/>
              <w:left w:w="79" w:type="dxa"/>
              <w:bottom w:w="79" w:type="dxa"/>
              <w:right w:w="79" w:type="dxa"/>
            </w:tcMar>
          </w:tcPr>
          <w:p w14:paraId="244F4314" w14:textId="744F33BD" w:rsidR="00853516" w:rsidRPr="00846DED" w:rsidRDefault="00206924">
            <w:pPr>
              <w:widowControl w:val="0"/>
              <w:pBdr>
                <w:top w:val="nil"/>
                <w:left w:val="nil"/>
                <w:bottom w:val="nil"/>
                <w:right w:val="nil"/>
                <w:between w:val="nil"/>
              </w:pBdr>
              <w:spacing w:line="240" w:lineRule="auto"/>
              <w:rPr>
                <w:rFonts w:asciiTheme="majorHAnsi" w:hAnsiTheme="majorHAnsi" w:cstheme="majorHAnsi"/>
                <w:b/>
                <w:sz w:val="24"/>
                <w:szCs w:val="24"/>
              </w:rPr>
            </w:pPr>
            <w:r w:rsidRPr="00846DED">
              <w:rPr>
                <w:rFonts w:asciiTheme="majorHAnsi" w:hAnsiTheme="majorHAnsi" w:cstheme="majorHAnsi"/>
                <w:b/>
                <w:sz w:val="24"/>
                <w:szCs w:val="24"/>
              </w:rPr>
              <w:t>ALNCo</w:t>
            </w:r>
          </w:p>
        </w:tc>
      </w:tr>
      <w:tr w:rsidR="00853516" w:rsidRPr="00846DED" w14:paraId="3527BB1D" w14:textId="77777777">
        <w:tc>
          <w:tcPr>
            <w:tcW w:w="2685" w:type="dxa"/>
            <w:shd w:val="clear" w:color="auto" w:fill="auto"/>
            <w:tcMar>
              <w:top w:w="79" w:type="dxa"/>
              <w:left w:w="79" w:type="dxa"/>
              <w:bottom w:w="79" w:type="dxa"/>
              <w:right w:w="79" w:type="dxa"/>
            </w:tcMar>
          </w:tcPr>
          <w:p w14:paraId="48CD6641" w14:textId="77777777" w:rsidR="00853516" w:rsidRPr="00846DED" w:rsidRDefault="00FF3129">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Contract Type</w:t>
            </w:r>
          </w:p>
        </w:tc>
        <w:tc>
          <w:tcPr>
            <w:tcW w:w="6915" w:type="dxa"/>
            <w:shd w:val="clear" w:color="auto" w:fill="auto"/>
            <w:tcMar>
              <w:top w:w="79" w:type="dxa"/>
              <w:left w:w="79" w:type="dxa"/>
              <w:bottom w:w="79" w:type="dxa"/>
              <w:right w:w="79" w:type="dxa"/>
            </w:tcMar>
          </w:tcPr>
          <w:p w14:paraId="0AD8AB13" w14:textId="46C79E56" w:rsidR="00853516" w:rsidRPr="00846DED" w:rsidRDefault="00AA7A31">
            <w:pPr>
              <w:widowControl w:val="0"/>
              <w:pBdr>
                <w:top w:val="nil"/>
                <w:left w:val="nil"/>
                <w:bottom w:val="nil"/>
                <w:right w:val="nil"/>
                <w:between w:val="nil"/>
              </w:pBdr>
              <w:spacing w:line="240" w:lineRule="auto"/>
              <w:rPr>
                <w:rFonts w:asciiTheme="majorHAnsi" w:hAnsiTheme="majorHAnsi" w:cstheme="majorHAnsi"/>
                <w:b/>
                <w:sz w:val="24"/>
                <w:szCs w:val="24"/>
              </w:rPr>
            </w:pPr>
            <w:r w:rsidRPr="00846DED">
              <w:rPr>
                <w:rFonts w:asciiTheme="majorHAnsi" w:hAnsiTheme="majorHAnsi" w:cstheme="majorHAnsi"/>
                <w:b/>
                <w:sz w:val="24"/>
                <w:szCs w:val="24"/>
              </w:rPr>
              <w:t>Permanent</w:t>
            </w:r>
          </w:p>
        </w:tc>
      </w:tr>
      <w:tr w:rsidR="00853516" w:rsidRPr="00846DED" w14:paraId="5F642713" w14:textId="77777777">
        <w:tc>
          <w:tcPr>
            <w:tcW w:w="2685" w:type="dxa"/>
            <w:shd w:val="clear" w:color="auto" w:fill="auto"/>
            <w:tcMar>
              <w:top w:w="79" w:type="dxa"/>
              <w:left w:w="79" w:type="dxa"/>
              <w:bottom w:w="79" w:type="dxa"/>
              <w:right w:w="79" w:type="dxa"/>
            </w:tcMar>
          </w:tcPr>
          <w:p w14:paraId="50421EC0" w14:textId="77777777" w:rsidR="00853516" w:rsidRPr="00846DED" w:rsidRDefault="00FF3129">
            <w:pPr>
              <w:widowControl w:val="0"/>
              <w:pBdr>
                <w:top w:val="nil"/>
                <w:left w:val="nil"/>
                <w:bottom w:val="nil"/>
                <w:right w:val="nil"/>
                <w:between w:val="nil"/>
              </w:pBdr>
              <w:spacing w:line="240" w:lineRule="auto"/>
              <w:rPr>
                <w:rFonts w:asciiTheme="majorHAnsi" w:eastAsia="Sora" w:hAnsiTheme="majorHAnsi" w:cstheme="majorHAnsi"/>
                <w:b/>
                <w:color w:val="005F6B"/>
                <w:sz w:val="24"/>
                <w:szCs w:val="24"/>
              </w:rPr>
            </w:pPr>
            <w:r w:rsidRPr="00846DED">
              <w:rPr>
                <w:rFonts w:asciiTheme="majorHAnsi" w:eastAsia="Sora" w:hAnsiTheme="majorHAnsi" w:cstheme="majorHAnsi"/>
                <w:b/>
                <w:color w:val="005F6B"/>
                <w:sz w:val="24"/>
                <w:szCs w:val="24"/>
              </w:rPr>
              <w:t>Responsible for</w:t>
            </w:r>
          </w:p>
        </w:tc>
        <w:tc>
          <w:tcPr>
            <w:tcW w:w="6915" w:type="dxa"/>
            <w:shd w:val="clear" w:color="auto" w:fill="auto"/>
            <w:tcMar>
              <w:top w:w="79" w:type="dxa"/>
              <w:left w:w="79" w:type="dxa"/>
              <w:bottom w:w="79" w:type="dxa"/>
              <w:right w:w="79" w:type="dxa"/>
            </w:tcMar>
          </w:tcPr>
          <w:p w14:paraId="13A29614" w14:textId="4ED053BA" w:rsidR="00853516" w:rsidRPr="00846DED" w:rsidRDefault="007C749F">
            <w:pPr>
              <w:widowControl w:val="0"/>
              <w:pBdr>
                <w:top w:val="nil"/>
                <w:left w:val="nil"/>
                <w:bottom w:val="nil"/>
                <w:right w:val="nil"/>
                <w:between w:val="nil"/>
              </w:pBdr>
              <w:spacing w:line="240" w:lineRule="auto"/>
              <w:rPr>
                <w:rFonts w:asciiTheme="majorHAnsi" w:hAnsiTheme="majorHAnsi" w:cstheme="majorHAnsi"/>
                <w:b/>
                <w:sz w:val="24"/>
                <w:szCs w:val="24"/>
              </w:rPr>
            </w:pPr>
            <w:r w:rsidRPr="00846DED">
              <w:rPr>
                <w:rFonts w:asciiTheme="majorHAnsi" w:hAnsiTheme="majorHAnsi" w:cstheme="majorHAnsi"/>
                <w:b/>
                <w:sz w:val="24"/>
                <w:szCs w:val="24"/>
              </w:rPr>
              <w:t>Supporting</w:t>
            </w:r>
            <w:r w:rsidR="00164735" w:rsidRPr="00846DED">
              <w:rPr>
                <w:rFonts w:asciiTheme="majorHAnsi" w:hAnsiTheme="majorHAnsi" w:cstheme="majorHAnsi"/>
                <w:b/>
                <w:sz w:val="24"/>
                <w:szCs w:val="24"/>
              </w:rPr>
              <w:t xml:space="preserve"> whole school</w:t>
            </w:r>
            <w:r w:rsidRPr="00846DED">
              <w:rPr>
                <w:rFonts w:asciiTheme="majorHAnsi" w:hAnsiTheme="majorHAnsi" w:cstheme="majorHAnsi"/>
                <w:b/>
                <w:sz w:val="24"/>
                <w:szCs w:val="24"/>
              </w:rPr>
              <w:t xml:space="preserve"> </w:t>
            </w:r>
            <w:r w:rsidR="00577E19" w:rsidRPr="00846DED">
              <w:rPr>
                <w:rFonts w:asciiTheme="majorHAnsi" w:hAnsiTheme="majorHAnsi" w:cstheme="majorHAnsi"/>
                <w:b/>
                <w:sz w:val="24"/>
                <w:szCs w:val="24"/>
              </w:rPr>
              <w:t>n</w:t>
            </w:r>
            <w:r w:rsidR="00164735" w:rsidRPr="00846DED">
              <w:rPr>
                <w:rFonts w:asciiTheme="majorHAnsi" w:hAnsiTheme="majorHAnsi" w:cstheme="majorHAnsi"/>
                <w:b/>
                <w:sz w:val="24"/>
                <w:szCs w:val="24"/>
              </w:rPr>
              <w:t>umeracy</w:t>
            </w:r>
            <w:r w:rsidRPr="00846DED">
              <w:rPr>
                <w:rFonts w:asciiTheme="majorHAnsi" w:hAnsiTheme="majorHAnsi" w:cstheme="majorHAnsi"/>
                <w:b/>
                <w:sz w:val="24"/>
                <w:szCs w:val="24"/>
              </w:rPr>
              <w:t xml:space="preserve"> </w:t>
            </w:r>
            <w:r w:rsidR="00274087" w:rsidRPr="00846DED">
              <w:rPr>
                <w:rFonts w:asciiTheme="majorHAnsi" w:hAnsiTheme="majorHAnsi" w:cstheme="majorHAnsi"/>
                <w:b/>
                <w:sz w:val="24"/>
                <w:szCs w:val="24"/>
              </w:rPr>
              <w:t>development</w:t>
            </w:r>
          </w:p>
        </w:tc>
      </w:tr>
    </w:tbl>
    <w:p w14:paraId="203BEB61" w14:textId="77777777" w:rsidR="00853516" w:rsidRPr="00846DED" w:rsidRDefault="00853516">
      <w:pPr>
        <w:jc w:val="both"/>
        <w:rPr>
          <w:rFonts w:asciiTheme="majorHAnsi" w:eastAsia="Times New Roman" w:hAnsiTheme="majorHAnsi" w:cstheme="majorHAnsi"/>
          <w:color w:val="615C5D"/>
          <w:sz w:val="24"/>
          <w:szCs w:val="24"/>
        </w:rPr>
      </w:pPr>
    </w:p>
    <w:p w14:paraId="35C1BC29" w14:textId="77777777" w:rsidR="00853516" w:rsidRPr="00846DED" w:rsidRDefault="00853516">
      <w:pPr>
        <w:jc w:val="both"/>
        <w:rPr>
          <w:rFonts w:asciiTheme="majorHAnsi" w:eastAsia="Times New Roman" w:hAnsiTheme="majorHAnsi" w:cstheme="majorHAnsi"/>
          <w:color w:val="615C5D"/>
          <w:sz w:val="24"/>
          <w:szCs w:val="24"/>
        </w:rPr>
      </w:pPr>
    </w:p>
    <w:tbl>
      <w:tblPr>
        <w:tblStyle w:val="a1"/>
        <w:tblW w:w="96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9630"/>
      </w:tblGrid>
      <w:tr w:rsidR="00853516" w:rsidRPr="00846DED" w14:paraId="40700537" w14:textId="77777777">
        <w:tc>
          <w:tcPr>
            <w:tcW w:w="9630" w:type="dxa"/>
            <w:shd w:val="clear" w:color="auto" w:fill="005F6B"/>
            <w:tcMar>
              <w:top w:w="79" w:type="dxa"/>
              <w:left w:w="79" w:type="dxa"/>
              <w:bottom w:w="79" w:type="dxa"/>
              <w:right w:w="79" w:type="dxa"/>
            </w:tcMar>
          </w:tcPr>
          <w:p w14:paraId="645C3527" w14:textId="77777777" w:rsidR="00853516" w:rsidRPr="00846DED" w:rsidRDefault="00FF3129">
            <w:pPr>
              <w:widowControl w:val="0"/>
              <w:spacing w:line="240" w:lineRule="auto"/>
              <w:rPr>
                <w:rFonts w:asciiTheme="majorHAnsi" w:hAnsiTheme="majorHAnsi" w:cstheme="majorHAnsi"/>
                <w:b/>
                <w:color w:val="FFFFFF"/>
                <w:sz w:val="24"/>
                <w:szCs w:val="24"/>
              </w:rPr>
            </w:pPr>
            <w:r w:rsidRPr="00846DED">
              <w:rPr>
                <w:rFonts w:asciiTheme="majorHAnsi" w:hAnsiTheme="majorHAnsi" w:cstheme="majorHAnsi"/>
                <w:b/>
                <w:color w:val="FFFFFF"/>
                <w:sz w:val="24"/>
                <w:szCs w:val="24"/>
              </w:rPr>
              <w:t>Key Duties and Responsibilities</w:t>
            </w:r>
          </w:p>
        </w:tc>
      </w:tr>
      <w:tr w:rsidR="00853516" w:rsidRPr="00846DED" w14:paraId="4B4A442D" w14:textId="77777777">
        <w:trPr>
          <w:trHeight w:val="380"/>
        </w:trPr>
        <w:tc>
          <w:tcPr>
            <w:tcW w:w="9630" w:type="dxa"/>
            <w:shd w:val="clear" w:color="auto" w:fill="auto"/>
            <w:tcMar>
              <w:top w:w="79" w:type="dxa"/>
              <w:left w:w="79" w:type="dxa"/>
              <w:bottom w:w="79" w:type="dxa"/>
              <w:right w:w="79" w:type="dxa"/>
            </w:tcMar>
          </w:tcPr>
          <w:p w14:paraId="2BA21E86" w14:textId="77777777" w:rsidR="00577E19" w:rsidRPr="00846DED" w:rsidRDefault="00577E19" w:rsidP="00577E19">
            <w:pPr>
              <w:pStyle w:val="NormalWeb"/>
              <w:rPr>
                <w:rFonts w:asciiTheme="majorHAnsi" w:hAnsiTheme="majorHAnsi" w:cstheme="majorHAnsi"/>
              </w:rPr>
            </w:pPr>
            <w:r w:rsidRPr="00846DED">
              <w:rPr>
                <w:rFonts w:asciiTheme="majorHAnsi" w:hAnsiTheme="majorHAnsi" w:cstheme="majorHAnsi"/>
              </w:rPr>
              <w:t>The HLTA for Numeracy will work closely with teaching staff and pupils to raise attainment in numeracy, promote confidence in mathematical learning, and support the implementation of whole-school numeracy strategies. The role involves delivering targeted interventions, preparing engaging resources, and monitoring pupil progress.</w:t>
            </w:r>
          </w:p>
          <w:p w14:paraId="0579CDEE" w14:textId="418B4DBD" w:rsidR="00577E19" w:rsidRPr="00846DED" w:rsidRDefault="00577E19" w:rsidP="00577E19">
            <w:pPr>
              <w:pStyle w:val="NormalWeb"/>
              <w:rPr>
                <w:rFonts w:asciiTheme="majorHAnsi" w:hAnsiTheme="majorHAnsi" w:cstheme="majorHAnsi"/>
              </w:rPr>
            </w:pPr>
            <w:r w:rsidRPr="00846DED">
              <w:rPr>
                <w:rStyle w:val="Strong"/>
                <w:rFonts w:asciiTheme="majorHAnsi" w:hAnsiTheme="majorHAnsi" w:cstheme="majorHAnsi"/>
              </w:rPr>
              <w:t>Key Responsibilities</w:t>
            </w:r>
          </w:p>
          <w:p w14:paraId="2CDDCF5F"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Numeracy Support:</w:t>
            </w:r>
            <w:r w:rsidRPr="00846DED">
              <w:rPr>
                <w:rFonts w:asciiTheme="majorHAnsi" w:hAnsiTheme="majorHAnsi" w:cstheme="majorHAnsi"/>
              </w:rPr>
              <w:t xml:space="preserve"> Work collaboratively with teachers to raise the learning and attainment of pupils in numeracy.</w:t>
            </w:r>
          </w:p>
          <w:p w14:paraId="546933EC"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Pupil Confidence:</w:t>
            </w:r>
            <w:r w:rsidRPr="00846DED">
              <w:rPr>
                <w:rFonts w:asciiTheme="majorHAnsi" w:hAnsiTheme="majorHAnsi" w:cstheme="majorHAnsi"/>
              </w:rPr>
              <w:t xml:space="preserve"> Support pupils’ independence, engagement, and confidence in numeracy learning.</w:t>
            </w:r>
          </w:p>
          <w:p w14:paraId="62F9B85A"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Targeted Interventions:</w:t>
            </w:r>
            <w:r w:rsidRPr="00846DED">
              <w:rPr>
                <w:rFonts w:asciiTheme="majorHAnsi" w:hAnsiTheme="majorHAnsi" w:cstheme="majorHAnsi"/>
              </w:rPr>
              <w:t xml:space="preserve"> Provide tailored numeracy support to pupils individually and in small groups, focusing on improving numeracy skills and mathematical reasoning.</w:t>
            </w:r>
          </w:p>
          <w:p w14:paraId="212249CF" w14:textId="41CC0566"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Resource Coordination:</w:t>
            </w:r>
            <w:r w:rsidRPr="00846DED">
              <w:rPr>
                <w:rFonts w:asciiTheme="majorHAnsi" w:hAnsiTheme="majorHAnsi" w:cstheme="majorHAnsi"/>
              </w:rPr>
              <w:t xml:space="preserve"> Coordinate and manage numeracy resources and interventions, including White Rose Maths, </w:t>
            </w:r>
            <w:proofErr w:type="spellStart"/>
            <w:r w:rsidR="00846DED">
              <w:rPr>
                <w:rFonts w:asciiTheme="majorHAnsi" w:hAnsiTheme="majorHAnsi" w:cstheme="majorHAnsi"/>
              </w:rPr>
              <w:t>Sumdog</w:t>
            </w:r>
            <w:proofErr w:type="spellEnd"/>
            <w:r w:rsidRPr="00846DED">
              <w:rPr>
                <w:rFonts w:asciiTheme="majorHAnsi" w:hAnsiTheme="majorHAnsi" w:cstheme="majorHAnsi"/>
              </w:rPr>
              <w:t>, and other relevant programmes.</w:t>
            </w:r>
          </w:p>
          <w:p w14:paraId="3B76605E"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Planning &amp; Delivery:</w:t>
            </w:r>
            <w:r w:rsidRPr="00846DED">
              <w:rPr>
                <w:rFonts w:asciiTheme="majorHAnsi" w:hAnsiTheme="majorHAnsi" w:cstheme="majorHAnsi"/>
              </w:rPr>
              <w:t xml:space="preserve"> Plan and deliver structured numeracy interventions tailored to individual and group needs, in consultation with class teachers.</w:t>
            </w:r>
          </w:p>
          <w:p w14:paraId="475BCBA4"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Resource Development:</w:t>
            </w:r>
            <w:r w:rsidRPr="00846DED">
              <w:rPr>
                <w:rFonts w:asciiTheme="majorHAnsi" w:hAnsiTheme="majorHAnsi" w:cstheme="majorHAnsi"/>
              </w:rPr>
              <w:t xml:space="preserve"> Develop and prepare engaging numeracy-focused learning materials for both classroom and intervention use.</w:t>
            </w:r>
          </w:p>
          <w:p w14:paraId="27A03616"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Assessment &amp; Evaluation:</w:t>
            </w:r>
            <w:r w:rsidRPr="00846DED">
              <w:rPr>
                <w:rFonts w:asciiTheme="majorHAnsi" w:hAnsiTheme="majorHAnsi" w:cstheme="majorHAnsi"/>
              </w:rPr>
              <w:t xml:space="preserve"> Assess and evaluate pupils’ numeracy progress using formative and summative assessment tools, including PTM, IEPs, and </w:t>
            </w:r>
            <w:proofErr w:type="spellStart"/>
            <w:r w:rsidRPr="00846DED">
              <w:rPr>
                <w:rFonts w:asciiTheme="majorHAnsi" w:hAnsiTheme="majorHAnsi" w:cstheme="majorHAnsi"/>
              </w:rPr>
              <w:t>Taith</w:t>
            </w:r>
            <w:proofErr w:type="spellEnd"/>
            <w:r w:rsidRPr="00846DED">
              <w:rPr>
                <w:rFonts w:asciiTheme="majorHAnsi" w:hAnsiTheme="majorHAnsi" w:cstheme="majorHAnsi"/>
              </w:rPr>
              <w:t xml:space="preserve"> 360.</w:t>
            </w:r>
          </w:p>
          <w:p w14:paraId="4847A5DC"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Tracking &amp; Feedback:</w:t>
            </w:r>
            <w:r w:rsidRPr="00846DED">
              <w:rPr>
                <w:rFonts w:asciiTheme="majorHAnsi" w:hAnsiTheme="majorHAnsi" w:cstheme="majorHAnsi"/>
              </w:rPr>
              <w:t xml:space="preserve"> Monitor and track pupil participation and progress, providing clear and constructive feedback to support learning and development.</w:t>
            </w:r>
          </w:p>
          <w:p w14:paraId="7FB2C7C7"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Progress Records:</w:t>
            </w:r>
            <w:r w:rsidRPr="00846DED">
              <w:rPr>
                <w:rFonts w:asciiTheme="majorHAnsi" w:hAnsiTheme="majorHAnsi" w:cstheme="majorHAnsi"/>
              </w:rPr>
              <w:t xml:space="preserve"> Assist in maintaining and analysing records of pupils’ numeracy progress to inform teaching and intervention strategies.</w:t>
            </w:r>
          </w:p>
          <w:p w14:paraId="08A71BDA"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Reporting:</w:t>
            </w:r>
            <w:r w:rsidRPr="00846DED">
              <w:rPr>
                <w:rFonts w:asciiTheme="majorHAnsi" w:hAnsiTheme="majorHAnsi" w:cstheme="majorHAnsi"/>
              </w:rPr>
              <w:t xml:space="preserve"> Provide reports, evaluations, and recommendations to inform support strategies for pupils experiencing difficulties with numeracy.</w:t>
            </w:r>
          </w:p>
          <w:p w14:paraId="0DE425BB" w14:textId="77777777" w:rsidR="00577E19"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t>Support &amp; Mentoring:</w:t>
            </w:r>
            <w:r w:rsidRPr="00846DED">
              <w:rPr>
                <w:rFonts w:asciiTheme="majorHAnsi" w:hAnsiTheme="majorHAnsi" w:cstheme="majorHAnsi"/>
              </w:rPr>
              <w:t xml:space="preserve"> Support and mentor less experienced teaching assistants and lead numeracy-specific training sessions for staff, where required.</w:t>
            </w:r>
          </w:p>
          <w:p w14:paraId="720C88C5" w14:textId="77777777" w:rsidR="006E5716" w:rsidRPr="00846DED" w:rsidRDefault="00577E19" w:rsidP="00577E19">
            <w:pPr>
              <w:pStyle w:val="NormalWeb"/>
              <w:numPr>
                <w:ilvl w:val="0"/>
                <w:numId w:val="11"/>
              </w:numPr>
              <w:rPr>
                <w:rFonts w:asciiTheme="majorHAnsi" w:hAnsiTheme="majorHAnsi" w:cstheme="majorHAnsi"/>
              </w:rPr>
            </w:pPr>
            <w:r w:rsidRPr="00846DED">
              <w:rPr>
                <w:rStyle w:val="Strong"/>
                <w:rFonts w:asciiTheme="majorHAnsi" w:hAnsiTheme="majorHAnsi" w:cstheme="majorHAnsi"/>
              </w:rPr>
              <w:lastRenderedPageBreak/>
              <w:t>In-Class Support:</w:t>
            </w:r>
            <w:r w:rsidRPr="00846DED">
              <w:rPr>
                <w:rFonts w:asciiTheme="majorHAnsi" w:hAnsiTheme="majorHAnsi" w:cstheme="majorHAnsi"/>
              </w:rPr>
              <w:t xml:space="preserve"> Provide additional support for numeracy-based classroom activities and interventions when necessary.</w:t>
            </w:r>
          </w:p>
          <w:p w14:paraId="424A6D72" w14:textId="77777777" w:rsidR="00846DED" w:rsidRDefault="00846DED" w:rsidP="00846DED">
            <w:pPr>
              <w:pStyle w:val="NormalWeb"/>
              <w:rPr>
                <w:rFonts w:asciiTheme="majorHAnsi" w:hAnsiTheme="majorHAnsi" w:cstheme="majorHAnsi"/>
                <w:b/>
              </w:rPr>
            </w:pPr>
            <w:r w:rsidRPr="00846DED">
              <w:rPr>
                <w:rFonts w:asciiTheme="majorHAnsi" w:hAnsiTheme="majorHAnsi" w:cstheme="majorHAnsi"/>
                <w:b/>
              </w:rPr>
              <w:t>Qualifications, Skills and Experience</w:t>
            </w:r>
          </w:p>
          <w:p w14:paraId="32782128"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Experience working as a teaching assistant or in a similar educational support role.</w:t>
            </w:r>
          </w:p>
          <w:p w14:paraId="459CBCCB"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Proven ability to build positive relationships with teachers, pupils, and parents/carers.</w:t>
            </w:r>
          </w:p>
          <w:p w14:paraId="2903999B"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Creative approach to engaging pupils in numeracy learning.</w:t>
            </w:r>
          </w:p>
          <w:p w14:paraId="0A288B54"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Self-motivated, resilient, and proactive in supporting numeracy development.</w:t>
            </w:r>
          </w:p>
          <w:p w14:paraId="5075DBF3"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Up-to-date knowledge of numeracy pedagogy, including mastery approaches and intervention strategies.</w:t>
            </w:r>
          </w:p>
          <w:p w14:paraId="5483C93A"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GCSE Maths at grade C or higher (or equivalent qualification).</w:t>
            </w:r>
          </w:p>
          <w:p w14:paraId="5ECB88A4"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Experience supporting pupils across a range of attainment levels in numeracy.</w:t>
            </w:r>
          </w:p>
          <w:p w14:paraId="4145DBDC" w14:textId="77777777" w:rsidR="00846DED" w:rsidRP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Familiarity with numeracy difficulties, including dyscalculia and maths anxiety.</w:t>
            </w:r>
          </w:p>
          <w:p w14:paraId="0B532C95" w14:textId="77777777" w:rsid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Experience using numeracy assessment tools and intervention programmes.</w:t>
            </w:r>
          </w:p>
          <w:p w14:paraId="0AEB4B69" w14:textId="77777777" w:rsidR="00846DED" w:rsidRDefault="00846DED" w:rsidP="00846DED">
            <w:pPr>
              <w:pStyle w:val="NormalWeb"/>
              <w:numPr>
                <w:ilvl w:val="0"/>
                <w:numId w:val="15"/>
              </w:numPr>
              <w:rPr>
                <w:rFonts w:asciiTheme="majorHAnsi" w:hAnsiTheme="majorHAnsi" w:cstheme="majorHAnsi"/>
              </w:rPr>
            </w:pPr>
            <w:r w:rsidRPr="00846DED">
              <w:rPr>
                <w:rFonts w:asciiTheme="majorHAnsi" w:hAnsiTheme="majorHAnsi" w:cstheme="majorHAnsi"/>
              </w:rPr>
              <w:t>Confidence in supporting reluctant learners and those needing additional help in mathematics.</w:t>
            </w:r>
          </w:p>
          <w:p w14:paraId="1240B12C" w14:textId="77777777" w:rsidR="00846DED" w:rsidRDefault="00846DED" w:rsidP="00846DED">
            <w:pPr>
              <w:pStyle w:val="NormalWeb"/>
              <w:rPr>
                <w:rFonts w:asciiTheme="majorHAnsi" w:hAnsiTheme="majorHAnsi" w:cstheme="majorHAnsi"/>
                <w:b/>
                <w:bCs/>
              </w:rPr>
            </w:pPr>
            <w:r w:rsidRPr="00577E19">
              <w:rPr>
                <w:rFonts w:asciiTheme="majorHAnsi" w:hAnsiTheme="majorHAnsi" w:cstheme="majorHAnsi"/>
                <w:b/>
                <w:bCs/>
              </w:rPr>
              <w:t>Professional Development &amp; Collaboration</w:t>
            </w:r>
          </w:p>
          <w:p w14:paraId="56D99DA1" w14:textId="77777777" w:rsidR="00846DED" w:rsidRP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Diversity &amp; Inclusion:</w:t>
            </w:r>
            <w:r w:rsidRPr="00846DED">
              <w:rPr>
                <w:rFonts w:asciiTheme="majorHAnsi" w:hAnsiTheme="majorHAnsi" w:cstheme="majorHAnsi"/>
              </w:rPr>
              <w:t xml:space="preserve"> Promote diversity, equality of opportunity, and inclusion within the school community.</w:t>
            </w:r>
          </w:p>
          <w:p w14:paraId="75810F9D" w14:textId="77777777" w:rsidR="00846DED" w:rsidRP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Health &amp; Safety:</w:t>
            </w:r>
            <w:r w:rsidRPr="00846DED">
              <w:rPr>
                <w:rFonts w:asciiTheme="majorHAnsi" w:hAnsiTheme="majorHAnsi" w:cstheme="majorHAnsi"/>
              </w:rPr>
              <w:t xml:space="preserve"> Plan, monitor, and review health and safety responsibilities within the role.</w:t>
            </w:r>
          </w:p>
          <w:p w14:paraId="602E8591" w14:textId="77777777" w:rsid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Continuous Development:</w:t>
            </w:r>
            <w:r w:rsidRPr="00846DED">
              <w:rPr>
                <w:rFonts w:asciiTheme="majorHAnsi" w:hAnsiTheme="majorHAnsi" w:cstheme="majorHAnsi"/>
              </w:rPr>
              <w:t xml:space="preserve"> Engage actively in professional development opportunities to maintain and enhance skills and knowledge.</w:t>
            </w:r>
          </w:p>
          <w:p w14:paraId="5D63DF0A" w14:textId="77777777" w:rsid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Professional Conduct:</w:t>
            </w:r>
            <w:r w:rsidRPr="00846DED">
              <w:rPr>
                <w:rFonts w:asciiTheme="majorHAnsi" w:hAnsiTheme="majorHAnsi" w:cstheme="majorHAnsi"/>
              </w:rPr>
              <w:t xml:space="preserve"> Maintain high standards in attendance, punctuality, appearance, conduct, and relationships with pupils, parents/carers, and colleagues.</w:t>
            </w:r>
          </w:p>
          <w:p w14:paraId="08C03F3A" w14:textId="77777777" w:rsidR="00846DED" w:rsidRDefault="00846DED" w:rsidP="00846DED">
            <w:pPr>
              <w:pStyle w:val="NormalWeb"/>
              <w:rPr>
                <w:rFonts w:asciiTheme="majorHAnsi" w:hAnsiTheme="majorHAnsi" w:cstheme="majorHAnsi"/>
                <w:b/>
                <w:bCs/>
              </w:rPr>
            </w:pPr>
            <w:r w:rsidRPr="00577E19">
              <w:rPr>
                <w:rFonts w:asciiTheme="majorHAnsi" w:hAnsiTheme="majorHAnsi" w:cstheme="majorHAnsi"/>
                <w:b/>
                <w:bCs/>
              </w:rPr>
              <w:t>Additional Responsibilities</w:t>
            </w:r>
          </w:p>
          <w:p w14:paraId="3CBDF833" w14:textId="77777777" w:rsidR="00846DED" w:rsidRP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Flexibility &amp; Commitment:</w:t>
            </w:r>
            <w:r w:rsidRPr="00846DED">
              <w:rPr>
                <w:rFonts w:asciiTheme="majorHAnsi" w:hAnsiTheme="majorHAnsi" w:cstheme="majorHAnsi"/>
              </w:rPr>
              <w:t xml:space="preserve"> Undertake additional duties as required to support the school’s evolving needs, in line with the grade of the post.</w:t>
            </w:r>
          </w:p>
          <w:p w14:paraId="6A48D02A" w14:textId="77777777" w:rsid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Safeguarding &amp; Welfare:</w:t>
            </w:r>
            <w:r w:rsidRPr="00846DED">
              <w:rPr>
                <w:rFonts w:asciiTheme="majorHAnsi" w:hAnsiTheme="majorHAnsi" w:cstheme="majorHAnsi"/>
              </w:rPr>
              <w:t xml:space="preserve"> Ensure the safety and well-being of all pupils, maintaining the highest standards of safeguarding.</w:t>
            </w:r>
          </w:p>
          <w:p w14:paraId="0331DD71" w14:textId="77777777" w:rsidR="00846DED" w:rsidRDefault="00846DED" w:rsidP="00846DED">
            <w:pPr>
              <w:pStyle w:val="NormalWeb"/>
              <w:numPr>
                <w:ilvl w:val="0"/>
                <w:numId w:val="16"/>
              </w:numPr>
              <w:rPr>
                <w:rFonts w:asciiTheme="majorHAnsi" w:hAnsiTheme="majorHAnsi" w:cstheme="majorHAnsi"/>
              </w:rPr>
            </w:pPr>
            <w:r w:rsidRPr="00846DED">
              <w:rPr>
                <w:rStyle w:val="Strong"/>
                <w:rFonts w:asciiTheme="majorHAnsi" w:hAnsiTheme="majorHAnsi" w:cstheme="majorHAnsi"/>
              </w:rPr>
              <w:t>DBS Requirements:</w:t>
            </w:r>
            <w:r w:rsidRPr="00846DED">
              <w:rPr>
                <w:rFonts w:asciiTheme="majorHAnsi" w:hAnsiTheme="majorHAnsi" w:cstheme="majorHAnsi"/>
              </w:rPr>
              <w:t xml:space="preserve"> An Enhanced DBS Check is required for this role. It is an offence to apply for this post if barred from engaging in regulated activity relevant to children.</w:t>
            </w:r>
          </w:p>
          <w:p w14:paraId="10B9264A" w14:textId="0A943AD9" w:rsidR="00846DED" w:rsidRDefault="00846DED" w:rsidP="00846DED">
            <w:pPr>
              <w:pStyle w:val="NormalWeb"/>
              <w:rPr>
                <w:rFonts w:asciiTheme="majorHAnsi" w:hAnsiTheme="majorHAnsi" w:cstheme="majorHAnsi"/>
                <w:b/>
                <w:bCs/>
              </w:rPr>
            </w:pPr>
            <w:r w:rsidRPr="00577E19">
              <w:rPr>
                <w:rFonts w:asciiTheme="majorHAnsi" w:hAnsiTheme="majorHAnsi" w:cstheme="majorHAnsi"/>
                <w:b/>
                <w:bCs/>
              </w:rPr>
              <w:t>Expectations</w:t>
            </w:r>
          </w:p>
          <w:p w14:paraId="55E4A836" w14:textId="77777777" w:rsidR="00846DED" w:rsidRPr="00846DED" w:rsidRDefault="00846DED" w:rsidP="00846DED">
            <w:pPr>
              <w:pStyle w:val="NormalWeb"/>
              <w:numPr>
                <w:ilvl w:val="0"/>
                <w:numId w:val="21"/>
              </w:numPr>
              <w:rPr>
                <w:rFonts w:asciiTheme="majorHAnsi" w:hAnsiTheme="majorHAnsi" w:cstheme="majorHAnsi"/>
              </w:rPr>
            </w:pPr>
            <w:r w:rsidRPr="00846DED">
              <w:rPr>
                <w:rStyle w:val="Strong"/>
                <w:rFonts w:asciiTheme="majorHAnsi" w:hAnsiTheme="majorHAnsi" w:cstheme="majorHAnsi"/>
              </w:rPr>
              <w:t>Motivation &amp; Leadership:</w:t>
            </w:r>
            <w:r w:rsidRPr="00846DED">
              <w:rPr>
                <w:rFonts w:asciiTheme="majorHAnsi" w:hAnsiTheme="majorHAnsi" w:cstheme="majorHAnsi"/>
              </w:rPr>
              <w:t xml:space="preserve"> Inspire pupils through effective support and innovative learning strategies in numeracy.</w:t>
            </w:r>
          </w:p>
          <w:p w14:paraId="76EC98B9" w14:textId="77777777" w:rsidR="00846DED" w:rsidRDefault="00846DED" w:rsidP="00846DED">
            <w:pPr>
              <w:pStyle w:val="NormalWeb"/>
              <w:numPr>
                <w:ilvl w:val="0"/>
                <w:numId w:val="21"/>
              </w:numPr>
              <w:rPr>
                <w:rFonts w:asciiTheme="majorHAnsi" w:hAnsiTheme="majorHAnsi" w:cstheme="majorHAnsi"/>
              </w:rPr>
            </w:pPr>
            <w:r w:rsidRPr="00846DED">
              <w:rPr>
                <w:rStyle w:val="Strong"/>
                <w:rFonts w:asciiTheme="majorHAnsi" w:hAnsiTheme="majorHAnsi" w:cstheme="majorHAnsi"/>
              </w:rPr>
              <w:t>Safeguarding &amp; Welfare:</w:t>
            </w:r>
            <w:r w:rsidRPr="00846DED">
              <w:rPr>
                <w:rFonts w:asciiTheme="majorHAnsi" w:hAnsiTheme="majorHAnsi" w:cstheme="majorHAnsi"/>
              </w:rPr>
              <w:t xml:space="preserve"> Prioritise pupil welfare through vigilance and adherence to safeguarding protocols.</w:t>
            </w:r>
          </w:p>
          <w:p w14:paraId="0410561A" w14:textId="08AD2EE4" w:rsidR="00846DED" w:rsidRPr="00846DED" w:rsidRDefault="00846DED" w:rsidP="00846DED">
            <w:pPr>
              <w:pStyle w:val="NormalWeb"/>
              <w:numPr>
                <w:ilvl w:val="0"/>
                <w:numId w:val="21"/>
              </w:numPr>
              <w:rPr>
                <w:rFonts w:asciiTheme="majorHAnsi" w:hAnsiTheme="majorHAnsi" w:cstheme="majorHAnsi"/>
              </w:rPr>
            </w:pPr>
            <w:r w:rsidRPr="00846DED">
              <w:rPr>
                <w:rStyle w:val="Strong"/>
                <w:rFonts w:asciiTheme="majorHAnsi" w:hAnsiTheme="majorHAnsi" w:cstheme="majorHAnsi"/>
              </w:rPr>
              <w:t>Professionalism &amp; Growth:</w:t>
            </w:r>
            <w:r w:rsidRPr="00846DED">
              <w:rPr>
                <w:rFonts w:asciiTheme="majorHAnsi" w:hAnsiTheme="majorHAnsi" w:cstheme="majorHAnsi"/>
              </w:rPr>
              <w:t xml:space="preserve"> Demonstrate commitment to ongoing personal and professional development, upholding the school's ethos and values.</w:t>
            </w:r>
          </w:p>
          <w:p w14:paraId="435C698E" w14:textId="59A6AD07" w:rsidR="00846DED" w:rsidRPr="00846DED" w:rsidRDefault="00846DED" w:rsidP="00846DED">
            <w:pPr>
              <w:pStyle w:val="NormalWeb"/>
              <w:rPr>
                <w:rFonts w:asciiTheme="majorHAnsi" w:hAnsiTheme="majorHAnsi" w:cstheme="majorHAnsi"/>
              </w:rPr>
            </w:pPr>
          </w:p>
        </w:tc>
      </w:tr>
    </w:tbl>
    <w:p w14:paraId="5738B1BE" w14:textId="77777777" w:rsidR="00853516" w:rsidRPr="00846DED" w:rsidRDefault="00853516" w:rsidP="001D3E76">
      <w:pPr>
        <w:jc w:val="both"/>
        <w:rPr>
          <w:rFonts w:asciiTheme="majorHAnsi" w:hAnsiTheme="majorHAnsi" w:cstheme="majorHAnsi"/>
          <w:sz w:val="24"/>
          <w:szCs w:val="24"/>
        </w:rPr>
      </w:pPr>
    </w:p>
    <w:tbl>
      <w:tblPr>
        <w:tblW w:w="9639"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9639"/>
      </w:tblGrid>
      <w:tr w:rsidR="00577E19" w:rsidRPr="00846DED" w14:paraId="3E36F4F2" w14:textId="77777777" w:rsidTr="002820E7">
        <w:tc>
          <w:tcPr>
            <w:tcW w:w="9639" w:type="dxa"/>
            <w:shd w:val="clear" w:color="auto" w:fill="005F6B"/>
            <w:tcMar>
              <w:top w:w="79" w:type="dxa"/>
              <w:left w:w="79" w:type="dxa"/>
              <w:bottom w:w="79" w:type="dxa"/>
              <w:right w:w="79" w:type="dxa"/>
            </w:tcMar>
          </w:tcPr>
          <w:p w14:paraId="79654C8F" w14:textId="73D90F7D" w:rsidR="00577E19" w:rsidRPr="00846DED" w:rsidRDefault="00577E19" w:rsidP="00577E19">
            <w:pPr>
              <w:pStyle w:val="ListParagraph"/>
              <w:widowControl w:val="0"/>
              <w:rPr>
                <w:rFonts w:asciiTheme="majorHAnsi" w:hAnsiTheme="majorHAnsi" w:cstheme="majorHAnsi"/>
                <w:b/>
                <w:color w:val="FFFFFF"/>
                <w:sz w:val="24"/>
                <w:szCs w:val="24"/>
              </w:rPr>
            </w:pPr>
            <w:r w:rsidRPr="00577E19">
              <w:rPr>
                <w:rFonts w:asciiTheme="majorHAnsi" w:hAnsiTheme="majorHAnsi" w:cstheme="majorHAnsi"/>
                <w:b/>
                <w:bCs/>
                <w:color w:val="FFFFFF"/>
                <w:sz w:val="24"/>
                <w:szCs w:val="24"/>
              </w:rPr>
              <w:lastRenderedPageBreak/>
              <w:t>Additional Notes</w:t>
            </w:r>
          </w:p>
        </w:tc>
      </w:tr>
      <w:tr w:rsidR="00577E19" w:rsidRPr="00846DED" w14:paraId="263B0897" w14:textId="77777777" w:rsidTr="002820E7">
        <w:trPr>
          <w:trHeight w:val="380"/>
        </w:trPr>
        <w:tc>
          <w:tcPr>
            <w:tcW w:w="9639" w:type="dxa"/>
            <w:shd w:val="clear" w:color="auto" w:fill="auto"/>
            <w:tcMar>
              <w:top w:w="79" w:type="dxa"/>
              <w:left w:w="79" w:type="dxa"/>
              <w:bottom w:w="79" w:type="dxa"/>
              <w:right w:w="79" w:type="dxa"/>
            </w:tcMar>
          </w:tcPr>
          <w:p w14:paraId="40E0FC77" w14:textId="77777777" w:rsidR="00577E19" w:rsidRPr="00846DED" w:rsidRDefault="00577E19" w:rsidP="00577E19">
            <w:pPr>
              <w:pStyle w:val="NormalWeb"/>
              <w:rPr>
                <w:rFonts w:asciiTheme="majorHAnsi" w:hAnsiTheme="majorHAnsi" w:cstheme="majorHAnsi"/>
              </w:rPr>
            </w:pPr>
            <w:r w:rsidRPr="00846DED">
              <w:rPr>
                <w:rFonts w:asciiTheme="majorHAnsi" w:hAnsiTheme="majorHAnsi" w:cstheme="majorHAnsi"/>
              </w:rPr>
              <w:t>The duties outlined in this job description remain indicative and may evolve in response to the school’s needs. Flexibility is essential, and all staff may be required to undertake other reasonable duties aligned with their role and pay grade.</w:t>
            </w:r>
          </w:p>
          <w:p w14:paraId="12424530" w14:textId="77777777" w:rsidR="00577E19" w:rsidRPr="00846DED" w:rsidRDefault="00577E19" w:rsidP="00577E19">
            <w:pPr>
              <w:pStyle w:val="NormalWeb"/>
              <w:rPr>
                <w:rFonts w:asciiTheme="majorHAnsi" w:hAnsiTheme="majorHAnsi" w:cstheme="majorHAnsi"/>
              </w:rPr>
            </w:pPr>
            <w:r w:rsidRPr="00846DED">
              <w:rPr>
                <w:rFonts w:asciiTheme="majorHAnsi" w:hAnsiTheme="majorHAnsi" w:cstheme="majorHAnsi"/>
              </w:rPr>
              <w:t>An Enhanced DBS Check will be required upon a successful application.</w:t>
            </w:r>
          </w:p>
          <w:p w14:paraId="3CEB341D" w14:textId="5A3F55E9" w:rsidR="00577E19" w:rsidRPr="00846DED" w:rsidRDefault="00577E19" w:rsidP="002820E7">
            <w:pPr>
              <w:pStyle w:val="NormalWeb"/>
              <w:rPr>
                <w:rFonts w:asciiTheme="majorHAnsi" w:hAnsiTheme="majorHAnsi" w:cstheme="majorHAnsi"/>
              </w:rPr>
            </w:pPr>
            <w:r w:rsidRPr="00846DED">
              <w:rPr>
                <w:rFonts w:asciiTheme="majorHAnsi" w:hAnsiTheme="majorHAnsi" w:cstheme="majorHAnsi"/>
              </w:rPr>
              <w:t>This is an exciting opportunity for an enthusiastic and skilled HLTA to make a significant contribution to the numeracy progress and achievement of pupils across the school.</w:t>
            </w:r>
          </w:p>
        </w:tc>
      </w:tr>
    </w:tbl>
    <w:p w14:paraId="3507A0FD" w14:textId="77777777" w:rsidR="00853516" w:rsidRPr="00846DED" w:rsidRDefault="00853516" w:rsidP="001D3E76">
      <w:pPr>
        <w:jc w:val="both"/>
        <w:rPr>
          <w:rFonts w:asciiTheme="majorHAnsi" w:hAnsiTheme="majorHAnsi" w:cstheme="majorHAnsi"/>
          <w:sz w:val="24"/>
          <w:szCs w:val="24"/>
        </w:rPr>
      </w:pPr>
    </w:p>
    <w:sectPr w:rsidR="00853516" w:rsidRPr="00846DED">
      <w:footerReference w:type="default" r:id="rId9"/>
      <w:headerReference w:type="first" r:id="rId10"/>
      <w:footerReference w:type="first" r:id="rId11"/>
      <w:pgSz w:w="11909" w:h="16834"/>
      <w:pgMar w:top="850" w:right="1133" w:bottom="566" w:left="1133" w:header="566"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CD83" w14:textId="77777777" w:rsidR="003C0639" w:rsidRDefault="00FF3129">
      <w:pPr>
        <w:spacing w:line="240" w:lineRule="auto"/>
      </w:pPr>
      <w:r>
        <w:separator/>
      </w:r>
    </w:p>
  </w:endnote>
  <w:endnote w:type="continuationSeparator" w:id="0">
    <w:p w14:paraId="54A4B14A" w14:textId="77777777" w:rsidR="003C0639" w:rsidRDefault="00FF3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ra">
    <w:altName w:val="Khmer UI"/>
    <w:charset w:val="00"/>
    <w:family w:val="auto"/>
    <w:pitch w:val="variable"/>
    <w:sig w:usb0="A000006F" w:usb1="5000004B" w:usb2="0001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9B0D" w14:textId="77777777" w:rsidR="00853516" w:rsidRDefault="00853516">
    <w:pPr>
      <w:rPr>
        <w:color w:val="005F6B"/>
        <w:sz w:val="20"/>
        <w:szCs w:val="20"/>
      </w:rPr>
    </w:pPr>
  </w:p>
  <w:tbl>
    <w:tblPr>
      <w:tblStyle w:val="a5"/>
      <w:tblW w:w="9615" w:type="dxa"/>
      <w:tblBorders>
        <w:top w:val="single" w:sz="4" w:space="0" w:color="005F6B"/>
        <w:left w:val="single" w:sz="4" w:space="0" w:color="005F6B"/>
        <w:bottom w:val="single" w:sz="4" w:space="0" w:color="005F6B"/>
        <w:right w:val="single" w:sz="4" w:space="0" w:color="005F6B"/>
        <w:insideH w:val="single" w:sz="4" w:space="0" w:color="005F6B"/>
        <w:insideV w:val="single" w:sz="4" w:space="0" w:color="005F6B"/>
      </w:tblBorders>
      <w:tblLayout w:type="fixed"/>
      <w:tblLook w:val="0600" w:firstRow="0" w:lastRow="0" w:firstColumn="0" w:lastColumn="0" w:noHBand="1" w:noVBand="1"/>
    </w:tblPr>
    <w:tblGrid>
      <w:gridCol w:w="4807"/>
      <w:gridCol w:w="4808"/>
    </w:tblGrid>
    <w:tr w:rsidR="00853516" w14:paraId="416FA895" w14:textId="77777777">
      <w:trPr>
        <w:trHeight w:val="453"/>
      </w:trPr>
      <w:tc>
        <w:tcPr>
          <w:tcW w:w="4807" w:type="dxa"/>
          <w:tcBorders>
            <w:left w:val="nil"/>
            <w:bottom w:val="nil"/>
            <w:right w:val="nil"/>
          </w:tcBorders>
          <w:shd w:val="clear" w:color="auto" w:fill="auto"/>
          <w:tcMar>
            <w:top w:w="0" w:type="dxa"/>
            <w:left w:w="0" w:type="dxa"/>
            <w:bottom w:w="0" w:type="dxa"/>
            <w:right w:w="0" w:type="dxa"/>
          </w:tcMar>
          <w:vAlign w:val="center"/>
        </w:tcPr>
        <w:p w14:paraId="68AF0322" w14:textId="77777777" w:rsidR="00853516" w:rsidRDefault="00FF3129">
          <w:pPr>
            <w:widowControl w:val="0"/>
            <w:spacing w:line="240" w:lineRule="auto"/>
            <w:rPr>
              <w:rFonts w:ascii="Sora" w:eastAsia="Sora" w:hAnsi="Sora" w:cs="Sora"/>
              <w:color w:val="005F6B"/>
              <w:sz w:val="16"/>
              <w:szCs w:val="16"/>
            </w:rPr>
          </w:pPr>
          <w:r>
            <w:rPr>
              <w:rFonts w:ascii="Sora" w:eastAsia="Sora" w:hAnsi="Sora" w:cs="Sora"/>
              <w:color w:val="005F6B"/>
              <w:sz w:val="16"/>
              <w:szCs w:val="16"/>
            </w:rPr>
            <w:t>Job Description</w:t>
          </w:r>
        </w:p>
      </w:tc>
      <w:tc>
        <w:tcPr>
          <w:tcW w:w="4807" w:type="dxa"/>
          <w:tcBorders>
            <w:left w:val="nil"/>
            <w:bottom w:val="nil"/>
            <w:right w:val="nil"/>
          </w:tcBorders>
          <w:shd w:val="clear" w:color="auto" w:fill="auto"/>
          <w:tcMar>
            <w:top w:w="0" w:type="dxa"/>
            <w:left w:w="0" w:type="dxa"/>
            <w:bottom w:w="0" w:type="dxa"/>
            <w:right w:w="0" w:type="dxa"/>
          </w:tcMar>
          <w:vAlign w:val="center"/>
        </w:tcPr>
        <w:p w14:paraId="1D181F26" w14:textId="77777777" w:rsidR="00853516" w:rsidRDefault="00FF3129">
          <w:pPr>
            <w:widowControl w:val="0"/>
            <w:spacing w:line="240" w:lineRule="auto"/>
            <w:jc w:val="right"/>
            <w:rPr>
              <w:rFonts w:ascii="Sora" w:eastAsia="Sora" w:hAnsi="Sora" w:cs="Sora"/>
              <w:color w:val="005F6B"/>
              <w:sz w:val="16"/>
              <w:szCs w:val="16"/>
            </w:rPr>
          </w:pPr>
          <w:r>
            <w:rPr>
              <w:rFonts w:ascii="Sora" w:eastAsia="Sora" w:hAnsi="Sora" w:cs="Sora"/>
              <w:color w:val="005F6B"/>
              <w:sz w:val="16"/>
              <w:szCs w:val="16"/>
            </w:rPr>
            <w:fldChar w:fldCharType="begin"/>
          </w:r>
          <w:r>
            <w:rPr>
              <w:rFonts w:ascii="Sora" w:eastAsia="Sora" w:hAnsi="Sora" w:cs="Sora"/>
              <w:color w:val="005F6B"/>
              <w:sz w:val="16"/>
              <w:szCs w:val="16"/>
            </w:rPr>
            <w:instrText>PAGE</w:instrText>
          </w:r>
          <w:r>
            <w:rPr>
              <w:rFonts w:ascii="Sora" w:eastAsia="Sora" w:hAnsi="Sora" w:cs="Sora"/>
              <w:color w:val="005F6B"/>
              <w:sz w:val="16"/>
              <w:szCs w:val="16"/>
            </w:rPr>
            <w:fldChar w:fldCharType="separate"/>
          </w:r>
          <w:r>
            <w:rPr>
              <w:rFonts w:ascii="Sora" w:eastAsia="Sora" w:hAnsi="Sora" w:cs="Sora"/>
              <w:noProof/>
              <w:color w:val="005F6B"/>
              <w:sz w:val="16"/>
              <w:szCs w:val="16"/>
            </w:rPr>
            <w:t>1</w:t>
          </w:r>
          <w:r>
            <w:rPr>
              <w:rFonts w:ascii="Sora" w:eastAsia="Sora" w:hAnsi="Sora" w:cs="Sora"/>
              <w:color w:val="005F6B"/>
              <w:sz w:val="16"/>
              <w:szCs w:val="16"/>
            </w:rPr>
            <w:fldChar w:fldCharType="end"/>
          </w:r>
        </w:p>
      </w:tc>
    </w:tr>
  </w:tbl>
  <w:p w14:paraId="73A3234F" w14:textId="77777777" w:rsidR="00853516" w:rsidRDefault="00853516">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152E" w14:textId="77777777" w:rsidR="00853516" w:rsidRDefault="0085351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B5F6" w14:textId="77777777" w:rsidR="003C0639" w:rsidRDefault="00FF3129">
      <w:pPr>
        <w:spacing w:line="240" w:lineRule="auto"/>
      </w:pPr>
      <w:r>
        <w:separator/>
      </w:r>
    </w:p>
  </w:footnote>
  <w:footnote w:type="continuationSeparator" w:id="0">
    <w:p w14:paraId="13BE685A" w14:textId="77777777" w:rsidR="003C0639" w:rsidRDefault="00FF3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5E4" w14:textId="77777777" w:rsidR="00853516" w:rsidRDefault="008535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00F4"/>
    <w:multiLevelType w:val="hybridMultilevel"/>
    <w:tmpl w:val="7338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F3C0B"/>
    <w:multiLevelType w:val="multilevel"/>
    <w:tmpl w:val="699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9706B"/>
    <w:multiLevelType w:val="multilevel"/>
    <w:tmpl w:val="F40C3396"/>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C64F84"/>
    <w:multiLevelType w:val="multilevel"/>
    <w:tmpl w:val="F40C3396"/>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417CB3"/>
    <w:multiLevelType w:val="multilevel"/>
    <w:tmpl w:val="F40C3396"/>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A70049"/>
    <w:multiLevelType w:val="hybridMultilevel"/>
    <w:tmpl w:val="4A2A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81991"/>
    <w:multiLevelType w:val="multilevel"/>
    <w:tmpl w:val="1D88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07E74"/>
    <w:multiLevelType w:val="multilevel"/>
    <w:tmpl w:val="F40C3396"/>
    <w:lvl w:ilvl="0">
      <w:start w:val="1"/>
      <w:numFmt w:val="bullet"/>
      <w:lvlText w:val=""/>
      <w:lvlJc w:val="left"/>
      <w:pPr>
        <w:ind w:left="102" w:hanging="360"/>
      </w:pPr>
      <w:rPr>
        <w:rFonts w:ascii="Symbol" w:hAnsi="Symbol" w:hint="default"/>
        <w:sz w:val="24"/>
        <w:szCs w:val="24"/>
        <w:u w:val="none"/>
      </w:rPr>
    </w:lvl>
    <w:lvl w:ilvl="1">
      <w:start w:val="1"/>
      <w:numFmt w:val="bullet"/>
      <w:lvlText w:val="○"/>
      <w:lvlJc w:val="left"/>
      <w:pPr>
        <w:ind w:left="822" w:hanging="360"/>
      </w:pPr>
      <w:rPr>
        <w:u w:val="none"/>
      </w:rPr>
    </w:lvl>
    <w:lvl w:ilvl="2">
      <w:start w:val="1"/>
      <w:numFmt w:val="bullet"/>
      <w:lvlText w:val="■"/>
      <w:lvlJc w:val="left"/>
      <w:pPr>
        <w:ind w:left="1542" w:hanging="360"/>
      </w:pPr>
      <w:rPr>
        <w:u w:val="none"/>
      </w:rPr>
    </w:lvl>
    <w:lvl w:ilvl="3">
      <w:start w:val="1"/>
      <w:numFmt w:val="bullet"/>
      <w:lvlText w:val="●"/>
      <w:lvlJc w:val="left"/>
      <w:pPr>
        <w:ind w:left="2262" w:hanging="360"/>
      </w:pPr>
      <w:rPr>
        <w:u w:val="none"/>
      </w:rPr>
    </w:lvl>
    <w:lvl w:ilvl="4">
      <w:start w:val="1"/>
      <w:numFmt w:val="bullet"/>
      <w:lvlText w:val="○"/>
      <w:lvlJc w:val="left"/>
      <w:pPr>
        <w:ind w:left="2982" w:hanging="360"/>
      </w:pPr>
      <w:rPr>
        <w:u w:val="none"/>
      </w:rPr>
    </w:lvl>
    <w:lvl w:ilvl="5">
      <w:start w:val="1"/>
      <w:numFmt w:val="bullet"/>
      <w:lvlText w:val="■"/>
      <w:lvlJc w:val="left"/>
      <w:pPr>
        <w:ind w:left="3702" w:hanging="360"/>
      </w:pPr>
      <w:rPr>
        <w:u w:val="none"/>
      </w:rPr>
    </w:lvl>
    <w:lvl w:ilvl="6">
      <w:start w:val="1"/>
      <w:numFmt w:val="bullet"/>
      <w:lvlText w:val="●"/>
      <w:lvlJc w:val="left"/>
      <w:pPr>
        <w:ind w:left="4422" w:hanging="360"/>
      </w:pPr>
      <w:rPr>
        <w:u w:val="none"/>
      </w:rPr>
    </w:lvl>
    <w:lvl w:ilvl="7">
      <w:start w:val="1"/>
      <w:numFmt w:val="bullet"/>
      <w:lvlText w:val="○"/>
      <w:lvlJc w:val="left"/>
      <w:pPr>
        <w:ind w:left="5142" w:hanging="360"/>
      </w:pPr>
      <w:rPr>
        <w:u w:val="none"/>
      </w:rPr>
    </w:lvl>
    <w:lvl w:ilvl="8">
      <w:start w:val="1"/>
      <w:numFmt w:val="bullet"/>
      <w:lvlText w:val="■"/>
      <w:lvlJc w:val="left"/>
      <w:pPr>
        <w:ind w:left="5862" w:hanging="360"/>
      </w:pPr>
      <w:rPr>
        <w:u w:val="none"/>
      </w:rPr>
    </w:lvl>
  </w:abstractNum>
  <w:abstractNum w:abstractNumId="8" w15:restartNumberingAfterBreak="0">
    <w:nsid w:val="4CDB3B3D"/>
    <w:multiLevelType w:val="multilevel"/>
    <w:tmpl w:val="F40C3396"/>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3E4E14"/>
    <w:multiLevelType w:val="multilevel"/>
    <w:tmpl w:val="F40C3396"/>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4B248D"/>
    <w:multiLevelType w:val="multilevel"/>
    <w:tmpl w:val="FC08847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D07FAE"/>
    <w:multiLevelType w:val="multilevel"/>
    <w:tmpl w:val="0DC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D1390"/>
    <w:multiLevelType w:val="multilevel"/>
    <w:tmpl w:val="5274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D2C43"/>
    <w:multiLevelType w:val="multilevel"/>
    <w:tmpl w:val="7BA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D406E"/>
    <w:multiLevelType w:val="hybridMultilevel"/>
    <w:tmpl w:val="D674A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363ADA"/>
    <w:multiLevelType w:val="hybridMultilevel"/>
    <w:tmpl w:val="F074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85376"/>
    <w:multiLevelType w:val="hybridMultilevel"/>
    <w:tmpl w:val="38D2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21B2C"/>
    <w:multiLevelType w:val="multilevel"/>
    <w:tmpl w:val="25D4888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EF7BF0"/>
    <w:multiLevelType w:val="hybridMultilevel"/>
    <w:tmpl w:val="2624941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C84203D"/>
    <w:multiLevelType w:val="hybridMultilevel"/>
    <w:tmpl w:val="DDC8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72319"/>
    <w:multiLevelType w:val="multilevel"/>
    <w:tmpl w:val="7528EAF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3120128">
    <w:abstractNumId w:val="17"/>
  </w:num>
  <w:num w:numId="2" w16cid:durableId="711223489">
    <w:abstractNumId w:val="10"/>
  </w:num>
  <w:num w:numId="3" w16cid:durableId="1573272060">
    <w:abstractNumId w:val="20"/>
  </w:num>
  <w:num w:numId="4" w16cid:durableId="743458057">
    <w:abstractNumId w:val="7"/>
  </w:num>
  <w:num w:numId="5" w16cid:durableId="540825521">
    <w:abstractNumId w:val="15"/>
  </w:num>
  <w:num w:numId="6" w16cid:durableId="1740177789">
    <w:abstractNumId w:val="5"/>
  </w:num>
  <w:num w:numId="7" w16cid:durableId="1399548700">
    <w:abstractNumId w:val="14"/>
  </w:num>
  <w:num w:numId="8" w16cid:durableId="767583105">
    <w:abstractNumId w:val="0"/>
  </w:num>
  <w:num w:numId="9" w16cid:durableId="111748057">
    <w:abstractNumId w:val="19"/>
  </w:num>
  <w:num w:numId="10" w16cid:durableId="114253937">
    <w:abstractNumId w:val="18"/>
  </w:num>
  <w:num w:numId="11" w16cid:durableId="1168600056">
    <w:abstractNumId w:val="16"/>
  </w:num>
  <w:num w:numId="12" w16cid:durableId="1703436746">
    <w:abstractNumId w:val="8"/>
  </w:num>
  <w:num w:numId="13" w16cid:durableId="1193107227">
    <w:abstractNumId w:val="9"/>
  </w:num>
  <w:num w:numId="14" w16cid:durableId="495419101">
    <w:abstractNumId w:val="4"/>
  </w:num>
  <w:num w:numId="15" w16cid:durableId="1242104442">
    <w:abstractNumId w:val="3"/>
  </w:num>
  <w:num w:numId="16" w16cid:durableId="322393167">
    <w:abstractNumId w:val="2"/>
  </w:num>
  <w:num w:numId="17" w16cid:durableId="1282809685">
    <w:abstractNumId w:val="13"/>
  </w:num>
  <w:num w:numId="18" w16cid:durableId="1331367665">
    <w:abstractNumId w:val="1"/>
  </w:num>
  <w:num w:numId="19" w16cid:durableId="1704597967">
    <w:abstractNumId w:val="6"/>
  </w:num>
  <w:num w:numId="20" w16cid:durableId="2059668649">
    <w:abstractNumId w:val="11"/>
  </w:num>
  <w:num w:numId="21" w16cid:durableId="433089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16"/>
    <w:rsid w:val="0001645D"/>
    <w:rsid w:val="00025F23"/>
    <w:rsid w:val="000E18E4"/>
    <w:rsid w:val="00164735"/>
    <w:rsid w:val="00197A59"/>
    <w:rsid w:val="001D3E76"/>
    <w:rsid w:val="001E7D4E"/>
    <w:rsid w:val="00206924"/>
    <w:rsid w:val="00274087"/>
    <w:rsid w:val="003C0639"/>
    <w:rsid w:val="003D165D"/>
    <w:rsid w:val="00417CE3"/>
    <w:rsid w:val="005752A1"/>
    <w:rsid w:val="00577E19"/>
    <w:rsid w:val="005A4689"/>
    <w:rsid w:val="005C14BA"/>
    <w:rsid w:val="005C5C08"/>
    <w:rsid w:val="006E5716"/>
    <w:rsid w:val="006F3C97"/>
    <w:rsid w:val="006F61FD"/>
    <w:rsid w:val="0072285C"/>
    <w:rsid w:val="007C749F"/>
    <w:rsid w:val="008261D2"/>
    <w:rsid w:val="00846DED"/>
    <w:rsid w:val="00853516"/>
    <w:rsid w:val="00863A10"/>
    <w:rsid w:val="008A4368"/>
    <w:rsid w:val="00A723A0"/>
    <w:rsid w:val="00AA5962"/>
    <w:rsid w:val="00AA7A31"/>
    <w:rsid w:val="00B06049"/>
    <w:rsid w:val="00B656B9"/>
    <w:rsid w:val="00BD231F"/>
    <w:rsid w:val="00D66E80"/>
    <w:rsid w:val="00DB4ECB"/>
    <w:rsid w:val="00E005A5"/>
    <w:rsid w:val="00E20A54"/>
    <w:rsid w:val="00E4123B"/>
    <w:rsid w:val="00F543EA"/>
    <w:rsid w:val="00FF31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B01C"/>
  <w15:docId w15:val="{BB7A62F2-5CC7-456A-906F-447EB55C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1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D3E76"/>
    <w:pPr>
      <w:ind w:left="720"/>
      <w:contextualSpacing/>
    </w:pPr>
  </w:style>
  <w:style w:type="paragraph" w:styleId="NormalWeb">
    <w:name w:val="Normal (Web)"/>
    <w:basedOn w:val="Normal"/>
    <w:uiPriority w:val="99"/>
    <w:unhideWhenUsed/>
    <w:rsid w:val="00577E1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577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385">
      <w:bodyDiv w:val="1"/>
      <w:marLeft w:val="0"/>
      <w:marRight w:val="0"/>
      <w:marTop w:val="0"/>
      <w:marBottom w:val="0"/>
      <w:divBdr>
        <w:top w:val="none" w:sz="0" w:space="0" w:color="auto"/>
        <w:left w:val="none" w:sz="0" w:space="0" w:color="auto"/>
        <w:bottom w:val="none" w:sz="0" w:space="0" w:color="auto"/>
        <w:right w:val="none" w:sz="0" w:space="0" w:color="auto"/>
      </w:divBdr>
    </w:div>
    <w:div w:id="142939749">
      <w:bodyDiv w:val="1"/>
      <w:marLeft w:val="0"/>
      <w:marRight w:val="0"/>
      <w:marTop w:val="0"/>
      <w:marBottom w:val="0"/>
      <w:divBdr>
        <w:top w:val="none" w:sz="0" w:space="0" w:color="auto"/>
        <w:left w:val="none" w:sz="0" w:space="0" w:color="auto"/>
        <w:bottom w:val="none" w:sz="0" w:space="0" w:color="auto"/>
        <w:right w:val="none" w:sz="0" w:space="0" w:color="auto"/>
      </w:divBdr>
    </w:div>
    <w:div w:id="632949173">
      <w:bodyDiv w:val="1"/>
      <w:marLeft w:val="0"/>
      <w:marRight w:val="0"/>
      <w:marTop w:val="0"/>
      <w:marBottom w:val="0"/>
      <w:divBdr>
        <w:top w:val="none" w:sz="0" w:space="0" w:color="auto"/>
        <w:left w:val="none" w:sz="0" w:space="0" w:color="auto"/>
        <w:bottom w:val="none" w:sz="0" w:space="0" w:color="auto"/>
        <w:right w:val="none" w:sz="0" w:space="0" w:color="auto"/>
      </w:divBdr>
    </w:div>
    <w:div w:id="642657239">
      <w:bodyDiv w:val="1"/>
      <w:marLeft w:val="0"/>
      <w:marRight w:val="0"/>
      <w:marTop w:val="0"/>
      <w:marBottom w:val="0"/>
      <w:divBdr>
        <w:top w:val="none" w:sz="0" w:space="0" w:color="auto"/>
        <w:left w:val="none" w:sz="0" w:space="0" w:color="auto"/>
        <w:bottom w:val="none" w:sz="0" w:space="0" w:color="auto"/>
        <w:right w:val="none" w:sz="0" w:space="0" w:color="auto"/>
      </w:divBdr>
    </w:div>
    <w:div w:id="716710423">
      <w:bodyDiv w:val="1"/>
      <w:marLeft w:val="0"/>
      <w:marRight w:val="0"/>
      <w:marTop w:val="0"/>
      <w:marBottom w:val="0"/>
      <w:divBdr>
        <w:top w:val="none" w:sz="0" w:space="0" w:color="auto"/>
        <w:left w:val="none" w:sz="0" w:space="0" w:color="auto"/>
        <w:bottom w:val="none" w:sz="0" w:space="0" w:color="auto"/>
        <w:right w:val="none" w:sz="0" w:space="0" w:color="auto"/>
      </w:divBdr>
    </w:div>
    <w:div w:id="855656494">
      <w:bodyDiv w:val="1"/>
      <w:marLeft w:val="0"/>
      <w:marRight w:val="0"/>
      <w:marTop w:val="0"/>
      <w:marBottom w:val="0"/>
      <w:divBdr>
        <w:top w:val="none" w:sz="0" w:space="0" w:color="auto"/>
        <w:left w:val="none" w:sz="0" w:space="0" w:color="auto"/>
        <w:bottom w:val="none" w:sz="0" w:space="0" w:color="auto"/>
        <w:right w:val="none" w:sz="0" w:space="0" w:color="auto"/>
      </w:divBdr>
    </w:div>
    <w:div w:id="917598148">
      <w:bodyDiv w:val="1"/>
      <w:marLeft w:val="0"/>
      <w:marRight w:val="0"/>
      <w:marTop w:val="0"/>
      <w:marBottom w:val="0"/>
      <w:divBdr>
        <w:top w:val="none" w:sz="0" w:space="0" w:color="auto"/>
        <w:left w:val="none" w:sz="0" w:space="0" w:color="auto"/>
        <w:bottom w:val="none" w:sz="0" w:space="0" w:color="auto"/>
        <w:right w:val="none" w:sz="0" w:space="0" w:color="auto"/>
      </w:divBdr>
    </w:div>
    <w:div w:id="960114326">
      <w:bodyDiv w:val="1"/>
      <w:marLeft w:val="0"/>
      <w:marRight w:val="0"/>
      <w:marTop w:val="0"/>
      <w:marBottom w:val="0"/>
      <w:divBdr>
        <w:top w:val="none" w:sz="0" w:space="0" w:color="auto"/>
        <w:left w:val="none" w:sz="0" w:space="0" w:color="auto"/>
        <w:bottom w:val="none" w:sz="0" w:space="0" w:color="auto"/>
        <w:right w:val="none" w:sz="0" w:space="0" w:color="auto"/>
      </w:divBdr>
    </w:div>
    <w:div w:id="996423812">
      <w:bodyDiv w:val="1"/>
      <w:marLeft w:val="0"/>
      <w:marRight w:val="0"/>
      <w:marTop w:val="0"/>
      <w:marBottom w:val="0"/>
      <w:divBdr>
        <w:top w:val="none" w:sz="0" w:space="0" w:color="auto"/>
        <w:left w:val="none" w:sz="0" w:space="0" w:color="auto"/>
        <w:bottom w:val="none" w:sz="0" w:space="0" w:color="auto"/>
        <w:right w:val="none" w:sz="0" w:space="0" w:color="auto"/>
      </w:divBdr>
    </w:div>
    <w:div w:id="1042752609">
      <w:bodyDiv w:val="1"/>
      <w:marLeft w:val="0"/>
      <w:marRight w:val="0"/>
      <w:marTop w:val="0"/>
      <w:marBottom w:val="0"/>
      <w:divBdr>
        <w:top w:val="none" w:sz="0" w:space="0" w:color="auto"/>
        <w:left w:val="none" w:sz="0" w:space="0" w:color="auto"/>
        <w:bottom w:val="none" w:sz="0" w:space="0" w:color="auto"/>
        <w:right w:val="none" w:sz="0" w:space="0" w:color="auto"/>
      </w:divBdr>
    </w:div>
    <w:div w:id="1143621214">
      <w:bodyDiv w:val="1"/>
      <w:marLeft w:val="0"/>
      <w:marRight w:val="0"/>
      <w:marTop w:val="0"/>
      <w:marBottom w:val="0"/>
      <w:divBdr>
        <w:top w:val="none" w:sz="0" w:space="0" w:color="auto"/>
        <w:left w:val="none" w:sz="0" w:space="0" w:color="auto"/>
        <w:bottom w:val="none" w:sz="0" w:space="0" w:color="auto"/>
        <w:right w:val="none" w:sz="0" w:space="0" w:color="auto"/>
      </w:divBdr>
    </w:div>
    <w:div w:id="1167013728">
      <w:bodyDiv w:val="1"/>
      <w:marLeft w:val="0"/>
      <w:marRight w:val="0"/>
      <w:marTop w:val="0"/>
      <w:marBottom w:val="0"/>
      <w:divBdr>
        <w:top w:val="none" w:sz="0" w:space="0" w:color="auto"/>
        <w:left w:val="none" w:sz="0" w:space="0" w:color="auto"/>
        <w:bottom w:val="none" w:sz="0" w:space="0" w:color="auto"/>
        <w:right w:val="none" w:sz="0" w:space="0" w:color="auto"/>
      </w:divBdr>
    </w:div>
    <w:div w:id="1295912476">
      <w:bodyDiv w:val="1"/>
      <w:marLeft w:val="0"/>
      <w:marRight w:val="0"/>
      <w:marTop w:val="0"/>
      <w:marBottom w:val="0"/>
      <w:divBdr>
        <w:top w:val="none" w:sz="0" w:space="0" w:color="auto"/>
        <w:left w:val="none" w:sz="0" w:space="0" w:color="auto"/>
        <w:bottom w:val="none" w:sz="0" w:space="0" w:color="auto"/>
        <w:right w:val="none" w:sz="0" w:space="0" w:color="auto"/>
      </w:divBdr>
    </w:div>
    <w:div w:id="1403454890">
      <w:bodyDiv w:val="1"/>
      <w:marLeft w:val="0"/>
      <w:marRight w:val="0"/>
      <w:marTop w:val="0"/>
      <w:marBottom w:val="0"/>
      <w:divBdr>
        <w:top w:val="none" w:sz="0" w:space="0" w:color="auto"/>
        <w:left w:val="none" w:sz="0" w:space="0" w:color="auto"/>
        <w:bottom w:val="none" w:sz="0" w:space="0" w:color="auto"/>
        <w:right w:val="none" w:sz="0" w:space="0" w:color="auto"/>
      </w:divBdr>
    </w:div>
    <w:div w:id="1409810636">
      <w:bodyDiv w:val="1"/>
      <w:marLeft w:val="0"/>
      <w:marRight w:val="0"/>
      <w:marTop w:val="0"/>
      <w:marBottom w:val="0"/>
      <w:divBdr>
        <w:top w:val="none" w:sz="0" w:space="0" w:color="auto"/>
        <w:left w:val="none" w:sz="0" w:space="0" w:color="auto"/>
        <w:bottom w:val="none" w:sz="0" w:space="0" w:color="auto"/>
        <w:right w:val="none" w:sz="0" w:space="0" w:color="auto"/>
      </w:divBdr>
    </w:div>
    <w:div w:id="1425227538">
      <w:bodyDiv w:val="1"/>
      <w:marLeft w:val="0"/>
      <w:marRight w:val="0"/>
      <w:marTop w:val="0"/>
      <w:marBottom w:val="0"/>
      <w:divBdr>
        <w:top w:val="none" w:sz="0" w:space="0" w:color="auto"/>
        <w:left w:val="none" w:sz="0" w:space="0" w:color="auto"/>
        <w:bottom w:val="none" w:sz="0" w:space="0" w:color="auto"/>
        <w:right w:val="none" w:sz="0" w:space="0" w:color="auto"/>
      </w:divBdr>
    </w:div>
    <w:div w:id="1442650489">
      <w:bodyDiv w:val="1"/>
      <w:marLeft w:val="0"/>
      <w:marRight w:val="0"/>
      <w:marTop w:val="0"/>
      <w:marBottom w:val="0"/>
      <w:divBdr>
        <w:top w:val="none" w:sz="0" w:space="0" w:color="auto"/>
        <w:left w:val="none" w:sz="0" w:space="0" w:color="auto"/>
        <w:bottom w:val="none" w:sz="0" w:space="0" w:color="auto"/>
        <w:right w:val="none" w:sz="0" w:space="0" w:color="auto"/>
      </w:divBdr>
    </w:div>
    <w:div w:id="1472092589">
      <w:bodyDiv w:val="1"/>
      <w:marLeft w:val="0"/>
      <w:marRight w:val="0"/>
      <w:marTop w:val="0"/>
      <w:marBottom w:val="0"/>
      <w:divBdr>
        <w:top w:val="none" w:sz="0" w:space="0" w:color="auto"/>
        <w:left w:val="none" w:sz="0" w:space="0" w:color="auto"/>
        <w:bottom w:val="none" w:sz="0" w:space="0" w:color="auto"/>
        <w:right w:val="none" w:sz="0" w:space="0" w:color="auto"/>
      </w:divBdr>
    </w:div>
    <w:div w:id="1495074722">
      <w:bodyDiv w:val="1"/>
      <w:marLeft w:val="0"/>
      <w:marRight w:val="0"/>
      <w:marTop w:val="0"/>
      <w:marBottom w:val="0"/>
      <w:divBdr>
        <w:top w:val="none" w:sz="0" w:space="0" w:color="auto"/>
        <w:left w:val="none" w:sz="0" w:space="0" w:color="auto"/>
        <w:bottom w:val="none" w:sz="0" w:space="0" w:color="auto"/>
        <w:right w:val="none" w:sz="0" w:space="0" w:color="auto"/>
      </w:divBdr>
    </w:div>
    <w:div w:id="1807357810">
      <w:bodyDiv w:val="1"/>
      <w:marLeft w:val="0"/>
      <w:marRight w:val="0"/>
      <w:marTop w:val="0"/>
      <w:marBottom w:val="0"/>
      <w:divBdr>
        <w:top w:val="none" w:sz="0" w:space="0" w:color="auto"/>
        <w:left w:val="none" w:sz="0" w:space="0" w:color="auto"/>
        <w:bottom w:val="none" w:sz="0" w:space="0" w:color="auto"/>
        <w:right w:val="none" w:sz="0" w:space="0" w:color="auto"/>
      </w:divBdr>
    </w:div>
    <w:div w:id="1855150897">
      <w:bodyDiv w:val="1"/>
      <w:marLeft w:val="0"/>
      <w:marRight w:val="0"/>
      <w:marTop w:val="0"/>
      <w:marBottom w:val="0"/>
      <w:divBdr>
        <w:top w:val="none" w:sz="0" w:space="0" w:color="auto"/>
        <w:left w:val="none" w:sz="0" w:space="0" w:color="auto"/>
        <w:bottom w:val="none" w:sz="0" w:space="0" w:color="auto"/>
        <w:right w:val="none" w:sz="0" w:space="0" w:color="auto"/>
      </w:divBdr>
    </w:div>
    <w:div w:id="1856307727">
      <w:bodyDiv w:val="1"/>
      <w:marLeft w:val="0"/>
      <w:marRight w:val="0"/>
      <w:marTop w:val="0"/>
      <w:marBottom w:val="0"/>
      <w:divBdr>
        <w:top w:val="none" w:sz="0" w:space="0" w:color="auto"/>
        <w:left w:val="none" w:sz="0" w:space="0" w:color="auto"/>
        <w:bottom w:val="none" w:sz="0" w:space="0" w:color="auto"/>
        <w:right w:val="none" w:sz="0" w:space="0" w:color="auto"/>
      </w:divBdr>
    </w:div>
    <w:div w:id="2000190990">
      <w:bodyDiv w:val="1"/>
      <w:marLeft w:val="0"/>
      <w:marRight w:val="0"/>
      <w:marTop w:val="0"/>
      <w:marBottom w:val="0"/>
      <w:divBdr>
        <w:top w:val="none" w:sz="0" w:space="0" w:color="auto"/>
        <w:left w:val="none" w:sz="0" w:space="0" w:color="auto"/>
        <w:bottom w:val="none" w:sz="0" w:space="0" w:color="auto"/>
        <w:right w:val="none" w:sz="0" w:space="0" w:color="auto"/>
      </w:divBdr>
    </w:div>
    <w:div w:id="207711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272B-1812-40E2-941D-2A431FB6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Prendergast</dc:creator>
  <cp:lastModifiedBy>Sarah Majid</cp:lastModifiedBy>
  <cp:revision>3</cp:revision>
  <dcterms:created xsi:type="dcterms:W3CDTF">2025-03-10T12:31:00Z</dcterms:created>
  <dcterms:modified xsi:type="dcterms:W3CDTF">2025-03-24T11:23:00Z</dcterms:modified>
</cp:coreProperties>
</file>