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76" w:type="dxa"/>
        <w:tblBorders>
          <w:top w:val="single" w:sz="4" w:space="0" w:color="9CC2E5"/>
          <w:left w:val="single" w:sz="4" w:space="0" w:color="9CC2E5"/>
          <w:bottom w:val="single" w:sz="4" w:space="0" w:color="9CC2E5"/>
          <w:right w:val="single" w:sz="4" w:space="0" w:color="9CC2E5"/>
          <w:insideH w:val="single" w:sz="4" w:space="0" w:color="9CC2E5"/>
        </w:tblBorders>
        <w:tblLook w:val="04A0" w:firstRow="1" w:lastRow="0" w:firstColumn="1" w:lastColumn="0" w:noHBand="0" w:noVBand="1"/>
      </w:tblPr>
      <w:tblGrid>
        <w:gridCol w:w="2269"/>
        <w:gridCol w:w="7796"/>
      </w:tblGrid>
      <w:tr>
        <w:trPr>
          <w:trHeight w:val="407"/>
        </w:trPr>
        <w:tc>
          <w:tcPr>
            <w:tcW w:w="10065" w:type="dxa"/>
            <w:gridSpan w:val="2"/>
            <w:tcBorders>
              <w:top w:val="single" w:sz="4" w:space="0" w:color="9CC2E5"/>
              <w:left w:val="single" w:sz="4" w:space="0" w:color="9CC2E5"/>
              <w:bottom w:val="single" w:sz="4" w:space="0" w:color="9CC2E5"/>
              <w:right w:val="single" w:sz="4" w:space="0" w:color="9CC2E5"/>
            </w:tcBorders>
            <w:shd w:val="clear" w:color="auto" w:fill="5B9BD5"/>
          </w:tcPr>
          <w:p>
            <w:pPr>
              <w:tabs>
                <w:tab w:val="left" w:pos="2880"/>
              </w:tabs>
              <w:spacing w:before="50" w:after="50"/>
              <w:rPr>
                <w:rFonts w:ascii="Calibri" w:hAnsi="Calibri"/>
                <w:b/>
                <w:color w:val="FFFFFF"/>
                <w:sz w:val="28"/>
                <w:szCs w:val="28"/>
              </w:rPr>
            </w:pPr>
            <w:r>
              <w:rPr>
                <w:rFonts w:ascii="Calibri" w:hAnsi="Calibri"/>
                <w:b/>
                <w:color w:val="FFFFFF"/>
                <w:sz w:val="28"/>
                <w:szCs w:val="28"/>
              </w:rPr>
              <w:t xml:space="preserve">JOB DESCRIPTION </w:t>
            </w:r>
          </w:p>
        </w:tc>
      </w:tr>
      <w:tr>
        <w:trPr>
          <w:trHeight w:val="522"/>
        </w:trPr>
        <w:tc>
          <w:tcPr>
            <w:tcW w:w="10065" w:type="dxa"/>
            <w:gridSpan w:val="2"/>
            <w:tcBorders>
              <w:top w:val="single" w:sz="4" w:space="0" w:color="9CC2E5"/>
              <w:right w:val="single" w:sz="4" w:space="0" w:color="9CC2E5"/>
            </w:tcBorders>
            <w:shd w:val="clear" w:color="auto" w:fill="5B9BD5"/>
          </w:tcPr>
          <w:p>
            <w:pPr>
              <w:tabs>
                <w:tab w:val="left" w:pos="2880"/>
              </w:tabs>
              <w:spacing w:before="50" w:after="50"/>
              <w:rPr>
                <w:rFonts w:ascii="Calibri" w:hAnsi="Calibri"/>
                <w:b/>
                <w:color w:val="FFFFFF"/>
                <w:sz w:val="22"/>
                <w:szCs w:val="22"/>
              </w:rPr>
            </w:pPr>
            <w:r>
              <w:rPr>
                <w:rFonts w:ascii="Calibri" w:hAnsi="Calibri"/>
                <w:b/>
                <w:color w:val="FFFFFF"/>
                <w:sz w:val="22"/>
                <w:szCs w:val="22"/>
              </w:rPr>
              <w:t xml:space="preserve">Job details </w:t>
            </w:r>
          </w:p>
        </w:tc>
      </w:tr>
      <w:tr>
        <w:trPr>
          <w:trHeight w:val="403"/>
        </w:trPr>
        <w:tc>
          <w:tcPr>
            <w:tcW w:w="2269" w:type="dxa"/>
            <w:tcBorders>
              <w:top w:val="single" w:sz="4" w:space="0" w:color="9CC2E5"/>
              <w:left w:val="single" w:sz="4" w:space="0" w:color="9CC2E5"/>
              <w:bottom w:val="single" w:sz="4" w:space="0" w:color="9CC2E5"/>
              <w:right w:val="single" w:sz="4" w:space="0" w:color="9CC2E5"/>
            </w:tcBorders>
            <w:shd w:val="clear" w:color="auto" w:fill="5B9BD5"/>
          </w:tcPr>
          <w:p>
            <w:pPr>
              <w:tabs>
                <w:tab w:val="left" w:pos="2880"/>
              </w:tabs>
              <w:spacing w:before="50" w:after="50"/>
              <w:rPr>
                <w:rFonts w:ascii="Calibri" w:hAnsi="Calibri"/>
                <w:b/>
                <w:color w:val="FFFFFF"/>
                <w:sz w:val="22"/>
                <w:szCs w:val="22"/>
              </w:rPr>
            </w:pPr>
            <w:r>
              <w:rPr>
                <w:rFonts w:ascii="Calibri" w:hAnsi="Calibri"/>
                <w:b/>
                <w:color w:val="FFFFFF"/>
                <w:sz w:val="22"/>
                <w:szCs w:val="22"/>
              </w:rPr>
              <w:t xml:space="preserve">Post Title </w:t>
            </w:r>
          </w:p>
        </w:tc>
        <w:tc>
          <w:tcPr>
            <w:tcW w:w="7796" w:type="dxa"/>
            <w:tcBorders>
              <w:left w:val="single" w:sz="4" w:space="0" w:color="9CC2E5"/>
              <w:bottom w:val="single" w:sz="4" w:space="0" w:color="9CC2E5"/>
            </w:tcBorders>
            <w:shd w:val="clear" w:color="auto" w:fill="auto"/>
          </w:tcPr>
          <w:p>
            <w:pPr>
              <w:tabs>
                <w:tab w:val="left" w:pos="2880"/>
              </w:tabs>
              <w:spacing w:before="50" w:after="50"/>
              <w:rPr>
                <w:rFonts w:ascii="Calibri" w:hAnsi="Calibri"/>
                <w:bCs/>
                <w:color w:val="000000"/>
                <w:sz w:val="22"/>
                <w:szCs w:val="22"/>
              </w:rPr>
            </w:pPr>
            <w:r>
              <w:rPr>
                <w:rFonts w:ascii="Calibri" w:hAnsi="Calibri"/>
                <w:bCs/>
                <w:color w:val="000000"/>
                <w:sz w:val="22"/>
                <w:szCs w:val="22"/>
              </w:rPr>
              <w:t xml:space="preserve">Classroom Teacher </w:t>
            </w:r>
          </w:p>
        </w:tc>
      </w:tr>
      <w:tr>
        <w:tc>
          <w:tcPr>
            <w:tcW w:w="2269" w:type="dxa"/>
            <w:tcBorders>
              <w:top w:val="single" w:sz="4" w:space="0" w:color="9CC2E5"/>
              <w:left w:val="single" w:sz="4" w:space="0" w:color="9CC2E5"/>
              <w:bottom w:val="single" w:sz="4" w:space="0" w:color="9CC2E5"/>
              <w:right w:val="single" w:sz="4" w:space="0" w:color="9CC2E5"/>
            </w:tcBorders>
            <w:shd w:val="clear" w:color="auto" w:fill="5B9BD5"/>
          </w:tcPr>
          <w:p>
            <w:pPr>
              <w:tabs>
                <w:tab w:val="left" w:pos="2880"/>
              </w:tabs>
              <w:spacing w:before="50" w:after="50"/>
              <w:rPr>
                <w:rFonts w:ascii="Calibri" w:hAnsi="Calibri"/>
                <w:b/>
                <w:color w:val="FFFFFF"/>
                <w:sz w:val="22"/>
                <w:szCs w:val="22"/>
              </w:rPr>
            </w:pPr>
            <w:r>
              <w:rPr>
                <w:rFonts w:ascii="Calibri" w:hAnsi="Calibri"/>
                <w:b/>
                <w:color w:val="FFFFFF"/>
                <w:sz w:val="22"/>
                <w:szCs w:val="22"/>
              </w:rPr>
              <w:t>Responsible to</w:t>
            </w:r>
          </w:p>
        </w:tc>
        <w:tc>
          <w:tcPr>
            <w:tcW w:w="7796" w:type="dxa"/>
            <w:tcBorders>
              <w:top w:val="single" w:sz="4" w:space="0" w:color="9CC2E5"/>
              <w:left w:val="single" w:sz="4" w:space="0" w:color="9CC2E5"/>
              <w:bottom w:val="single" w:sz="4" w:space="0" w:color="9CC2E5"/>
            </w:tcBorders>
            <w:shd w:val="clear" w:color="auto" w:fill="auto"/>
          </w:tcPr>
          <w:p>
            <w:pPr>
              <w:tabs>
                <w:tab w:val="left" w:pos="2880"/>
              </w:tabs>
              <w:spacing w:before="50" w:after="50"/>
              <w:rPr>
                <w:rFonts w:ascii="Calibri" w:hAnsi="Calibri"/>
                <w:bCs/>
                <w:color w:val="000000"/>
                <w:sz w:val="22"/>
                <w:szCs w:val="22"/>
              </w:rPr>
            </w:pPr>
            <w:r>
              <w:rPr>
                <w:rFonts w:ascii="Calibri" w:hAnsi="Calibri"/>
                <w:bCs/>
                <w:color w:val="000000"/>
                <w:sz w:val="22"/>
                <w:szCs w:val="22"/>
              </w:rPr>
              <w:t>Head of Department</w:t>
            </w:r>
          </w:p>
        </w:tc>
      </w:tr>
      <w:tr>
        <w:tc>
          <w:tcPr>
            <w:tcW w:w="10065" w:type="dxa"/>
            <w:gridSpan w:val="2"/>
            <w:shd w:val="clear" w:color="auto" w:fill="5B9BD5"/>
          </w:tcPr>
          <w:p>
            <w:pPr>
              <w:tabs>
                <w:tab w:val="left" w:pos="2880"/>
              </w:tabs>
              <w:spacing w:before="50" w:after="50"/>
              <w:rPr>
                <w:rFonts w:ascii="Calibri" w:hAnsi="Calibri"/>
                <w:b/>
                <w:color w:val="FFFFFF"/>
                <w:sz w:val="22"/>
                <w:szCs w:val="22"/>
              </w:rPr>
            </w:pPr>
            <w:r>
              <w:rPr>
                <w:rFonts w:ascii="Calibri" w:hAnsi="Calibri"/>
                <w:b/>
                <w:color w:val="FFFFFF"/>
                <w:sz w:val="22"/>
                <w:szCs w:val="22"/>
              </w:rPr>
              <w:t>Purpose of the Job</w:t>
            </w:r>
          </w:p>
        </w:tc>
      </w:tr>
      <w:tr>
        <w:trPr>
          <w:trHeight w:val="5080"/>
        </w:trPr>
        <w:tc>
          <w:tcPr>
            <w:tcW w:w="10065" w:type="dxa"/>
            <w:gridSpan w:val="2"/>
            <w:shd w:val="clear" w:color="auto" w:fill="DEEAF6"/>
          </w:tcPr>
          <w:p>
            <w:pPr>
              <w:spacing w:before="110" w:after="110"/>
              <w:rPr>
                <w:b/>
                <w:bCs/>
                <w:sz w:val="22"/>
                <w:szCs w:val="22"/>
              </w:rPr>
            </w:pPr>
            <w:r>
              <w:rPr>
                <w:rFonts w:ascii="Calibri" w:hAnsi="Calibri" w:cs="Calibri"/>
                <w:b/>
                <w:bCs/>
                <w:sz w:val="22"/>
                <w:szCs w:val="22"/>
              </w:rPr>
              <w:t xml:space="preserve">Objectives </w:t>
            </w:r>
          </w:p>
          <w:p>
            <w:pPr>
              <w:spacing w:after="273"/>
              <w:rPr>
                <w:rFonts w:ascii="Calibri" w:hAnsi="Calibri" w:cs="Calibri"/>
                <w:bCs/>
                <w:color w:val="000000"/>
                <w:sz w:val="22"/>
                <w:szCs w:val="22"/>
                <w:lang w:eastAsia="en-GB"/>
              </w:rPr>
            </w:pPr>
            <w:r>
              <w:rPr>
                <w:rFonts w:ascii="Calibri" w:hAnsi="Calibri" w:cs="Calibri"/>
                <w:bCs/>
                <w:color w:val="000000"/>
                <w:sz w:val="22"/>
                <w:szCs w:val="22"/>
                <w:lang w:eastAsia="en-GB"/>
              </w:rPr>
              <w:t>Teachers will be responsible for the academic outcomes of the students they teach. High quality teaching and high</w:t>
            </w:r>
            <w:r>
              <w:rPr>
                <w:bCs/>
                <w:sz w:val="22"/>
                <w:szCs w:val="22"/>
              </w:rPr>
              <w:t xml:space="preserve"> </w:t>
            </w:r>
            <w:r>
              <w:rPr>
                <w:rFonts w:ascii="Calibri" w:hAnsi="Calibri" w:cs="Calibri"/>
                <w:bCs/>
                <w:color w:val="000000"/>
                <w:sz w:val="22"/>
                <w:szCs w:val="22"/>
                <w:lang w:eastAsia="en-GB"/>
              </w:rPr>
              <w:t>expectations are at the heart of</w:t>
            </w:r>
            <w:bookmarkStart w:id="0" w:name="_GoBack"/>
            <w:bookmarkEnd w:id="0"/>
            <w:r>
              <w:rPr>
                <w:rFonts w:ascii="Calibri" w:hAnsi="Calibri" w:cs="Calibri"/>
                <w:bCs/>
                <w:color w:val="000000"/>
                <w:sz w:val="22"/>
                <w:szCs w:val="22"/>
                <w:lang w:eastAsia="en-GB"/>
              </w:rPr>
              <w:t xml:space="preserve"> Brooke Weston and all teachers will be expected to develop exemplary practice which supports the ethos, values and vision and contributes to the overall life and work of the Academy. Teachers will also be expected to promote and develop social, moral and physical aptitudes in their students and to provide advice and guidance where necessary.</w:t>
            </w:r>
          </w:p>
          <w:p>
            <w:pPr>
              <w:autoSpaceDE w:val="0"/>
              <w:autoSpaceDN w:val="0"/>
              <w:adjustRightInd w:val="0"/>
              <w:rPr>
                <w:rFonts w:ascii="Calibri-Bold" w:hAnsi="Calibri-Bold" w:cs="Calibri-Bold"/>
                <w:b/>
                <w:bCs/>
                <w:sz w:val="22"/>
                <w:szCs w:val="22"/>
                <w:lang w:eastAsia="en-GB"/>
              </w:rPr>
            </w:pPr>
            <w:r>
              <w:rPr>
                <w:rFonts w:ascii="Calibri-Bold" w:hAnsi="Calibri-Bold" w:cs="Calibri-Bold"/>
                <w:b/>
                <w:bCs/>
                <w:sz w:val="22"/>
                <w:szCs w:val="22"/>
                <w:lang w:eastAsia="en-GB"/>
              </w:rPr>
              <w:t>Learning and Teaching Role</w:t>
            </w:r>
          </w:p>
          <w:p>
            <w:pPr>
              <w:numPr>
                <w:ilvl w:val="0"/>
                <w:numId w:val="11"/>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Plan and prepare schemes of work and develop supporting resources.</w:t>
            </w:r>
          </w:p>
          <w:p>
            <w:pPr>
              <w:numPr>
                <w:ilvl w:val="0"/>
                <w:numId w:val="11"/>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Provide relevant and purposeful learning opportunities which are differentiated for students of all abilities.</w:t>
            </w:r>
          </w:p>
          <w:p>
            <w:pPr>
              <w:numPr>
                <w:ilvl w:val="0"/>
                <w:numId w:val="11"/>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Ensure that lessons and resources are well planned and delivered in accordance with relevant Trust policies e.g. teaching and learning, curriculum and assessment.</w:t>
            </w:r>
          </w:p>
          <w:p>
            <w:pPr>
              <w:numPr>
                <w:ilvl w:val="0"/>
                <w:numId w:val="11"/>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Arrange and promote relevant subject activities which will enhance the learning and motivation of students.</w:t>
            </w:r>
          </w:p>
          <w:p>
            <w:pPr>
              <w:autoSpaceDE w:val="0"/>
              <w:autoSpaceDN w:val="0"/>
              <w:adjustRightInd w:val="0"/>
              <w:rPr>
                <w:rFonts w:ascii="Calibri" w:hAnsi="Calibri" w:cs="Calibri"/>
                <w:b/>
                <w:bCs/>
                <w:sz w:val="22"/>
                <w:szCs w:val="22"/>
                <w:lang w:eastAsia="en-GB"/>
              </w:rPr>
            </w:pPr>
          </w:p>
          <w:p>
            <w:pPr>
              <w:autoSpaceDE w:val="0"/>
              <w:autoSpaceDN w:val="0"/>
              <w:adjustRightInd w:val="0"/>
              <w:rPr>
                <w:rFonts w:ascii="Calibri-Bold" w:hAnsi="Calibri-Bold" w:cs="Calibri-Bold"/>
                <w:b/>
                <w:bCs/>
                <w:sz w:val="22"/>
                <w:szCs w:val="22"/>
                <w:lang w:eastAsia="en-GB"/>
              </w:rPr>
            </w:pPr>
            <w:r>
              <w:rPr>
                <w:rFonts w:ascii="Calibri-Bold" w:hAnsi="Calibri-Bold" w:cs="Calibri-Bold"/>
                <w:b/>
                <w:bCs/>
                <w:sz w:val="22"/>
                <w:szCs w:val="22"/>
                <w:lang w:eastAsia="en-GB"/>
              </w:rPr>
              <w:t>Assessment and Reporting</w:t>
            </w:r>
          </w:p>
          <w:p>
            <w:pPr>
              <w:numPr>
                <w:ilvl w:val="0"/>
                <w:numId w:val="12"/>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Utilise a range of formative and summative assessment techniques to monitor student progress.</w:t>
            </w:r>
          </w:p>
          <w:p>
            <w:pPr>
              <w:numPr>
                <w:ilvl w:val="0"/>
                <w:numId w:val="12"/>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Mark students work regularly providing clear targets for improvement.</w:t>
            </w:r>
          </w:p>
          <w:p>
            <w:pPr>
              <w:numPr>
                <w:ilvl w:val="0"/>
                <w:numId w:val="12"/>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Participate in preparing students for public examinations including the accurate assessment of students and the recording and reporting of such assessments.</w:t>
            </w:r>
          </w:p>
          <w:p>
            <w:pPr>
              <w:numPr>
                <w:ilvl w:val="0"/>
                <w:numId w:val="12"/>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Provide a termly report on the progress and attainment of students in your classes.</w:t>
            </w:r>
          </w:p>
          <w:p>
            <w:pPr>
              <w:autoSpaceDE w:val="0"/>
              <w:autoSpaceDN w:val="0"/>
              <w:adjustRightInd w:val="0"/>
              <w:rPr>
                <w:rFonts w:ascii="Calibri" w:hAnsi="Calibri" w:cs="Calibri"/>
                <w:b/>
                <w:bCs/>
                <w:color w:val="000000"/>
                <w:sz w:val="22"/>
                <w:szCs w:val="22"/>
                <w:lang w:eastAsia="en-GB"/>
              </w:rPr>
            </w:pPr>
          </w:p>
          <w:p>
            <w:pPr>
              <w:autoSpaceDE w:val="0"/>
              <w:autoSpaceDN w:val="0"/>
              <w:adjustRightInd w:val="0"/>
              <w:rPr>
                <w:rFonts w:ascii="Calibri-Bold" w:hAnsi="Calibri-Bold" w:cs="Calibri-Bold"/>
                <w:b/>
                <w:bCs/>
                <w:sz w:val="22"/>
                <w:szCs w:val="22"/>
                <w:lang w:eastAsia="en-GB"/>
              </w:rPr>
            </w:pPr>
            <w:r>
              <w:rPr>
                <w:rFonts w:ascii="Calibri-Bold" w:hAnsi="Calibri-Bold" w:cs="Calibri-Bold"/>
                <w:b/>
                <w:bCs/>
                <w:sz w:val="22"/>
                <w:szCs w:val="22"/>
                <w:lang w:eastAsia="en-GB"/>
              </w:rPr>
              <w:t>Monitoring and Review</w:t>
            </w:r>
          </w:p>
          <w:p>
            <w:pPr>
              <w:numPr>
                <w:ilvl w:val="0"/>
                <w:numId w:val="13"/>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Contribute to the review and development of the curriculum including the development of programmes of study, teaching materials and the refinement of teaching methods.</w:t>
            </w:r>
          </w:p>
          <w:p>
            <w:pPr>
              <w:numPr>
                <w:ilvl w:val="0"/>
                <w:numId w:val="13"/>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Participate in the annual Academy review.</w:t>
            </w:r>
          </w:p>
          <w:p>
            <w:pPr>
              <w:numPr>
                <w:ilvl w:val="0"/>
                <w:numId w:val="13"/>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Participate in the review, development and management of activities relating to the curriculum, organisation and student care arrangements in the Academy.</w:t>
            </w:r>
          </w:p>
          <w:p>
            <w:pPr>
              <w:autoSpaceDE w:val="0"/>
              <w:autoSpaceDN w:val="0"/>
              <w:adjustRightInd w:val="0"/>
              <w:rPr>
                <w:rFonts w:ascii="Calibri-Bold" w:hAnsi="Calibri-Bold" w:cs="Calibri-Bold"/>
                <w:b/>
                <w:bCs/>
                <w:sz w:val="22"/>
                <w:szCs w:val="22"/>
                <w:lang w:eastAsia="en-GB"/>
              </w:rPr>
            </w:pPr>
          </w:p>
          <w:p>
            <w:pPr>
              <w:autoSpaceDE w:val="0"/>
              <w:autoSpaceDN w:val="0"/>
              <w:adjustRightInd w:val="0"/>
              <w:rPr>
                <w:rFonts w:ascii="Calibri-Bold" w:hAnsi="Calibri-Bold" w:cs="Calibri-Bold"/>
                <w:b/>
                <w:bCs/>
                <w:sz w:val="22"/>
                <w:szCs w:val="22"/>
                <w:lang w:eastAsia="en-GB"/>
              </w:rPr>
            </w:pPr>
            <w:r>
              <w:rPr>
                <w:rFonts w:ascii="Calibri-Bold" w:hAnsi="Calibri-Bold" w:cs="Calibri-Bold"/>
                <w:b/>
                <w:bCs/>
                <w:sz w:val="22"/>
                <w:szCs w:val="22"/>
                <w:lang w:eastAsia="en-GB"/>
              </w:rPr>
              <w:t>Liaison Role</w:t>
            </w:r>
          </w:p>
          <w:p>
            <w:pPr>
              <w:numPr>
                <w:ilvl w:val="0"/>
                <w:numId w:val="14"/>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Communicate and consult with parents of students in relation to their academic progress and any behavioural concerns.</w:t>
            </w:r>
          </w:p>
          <w:p>
            <w:pPr>
              <w:numPr>
                <w:ilvl w:val="0"/>
                <w:numId w:val="14"/>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Attend parents’ consultation meetings for the classes for which you have responsibility.</w:t>
            </w:r>
          </w:p>
          <w:p>
            <w:pPr>
              <w:numPr>
                <w:ilvl w:val="0"/>
                <w:numId w:val="14"/>
              </w:numPr>
              <w:tabs>
                <w:tab w:val="left" w:pos="709"/>
              </w:tabs>
              <w:rPr>
                <w:rFonts w:ascii="Calibri" w:hAnsi="Calibri" w:cs="Calibri"/>
                <w:bCs/>
                <w:color w:val="000000"/>
                <w:sz w:val="22"/>
                <w:szCs w:val="22"/>
                <w:lang w:eastAsia="en-GB"/>
              </w:rPr>
            </w:pPr>
            <w:r>
              <w:rPr>
                <w:rFonts w:ascii="Calibri" w:hAnsi="Calibri" w:cs="Calibri"/>
                <w:bCs/>
                <w:color w:val="000000"/>
                <w:sz w:val="22"/>
                <w:szCs w:val="22"/>
                <w:lang w:eastAsia="en-GB"/>
              </w:rPr>
              <w:t>Co-operate with other members of staff in the department and Academy.</w:t>
            </w:r>
          </w:p>
          <w:p>
            <w:pPr>
              <w:tabs>
                <w:tab w:val="left" w:pos="2880"/>
              </w:tabs>
              <w:rPr>
                <w:rFonts w:ascii="Calibri" w:hAnsi="Calibri" w:cs="Calibri"/>
                <w:bCs/>
                <w:color w:val="000000"/>
                <w:sz w:val="22"/>
                <w:szCs w:val="22"/>
                <w:lang w:eastAsia="en-GB"/>
              </w:rPr>
            </w:pPr>
          </w:p>
          <w:p>
            <w:pPr>
              <w:autoSpaceDE w:val="0"/>
              <w:autoSpaceDN w:val="0"/>
              <w:adjustRightInd w:val="0"/>
              <w:rPr>
                <w:rFonts w:ascii="Calibri-Bold" w:hAnsi="Calibri-Bold" w:cs="Calibri-Bold"/>
                <w:b/>
                <w:bCs/>
                <w:sz w:val="22"/>
                <w:szCs w:val="22"/>
                <w:lang w:eastAsia="en-GB"/>
              </w:rPr>
            </w:pPr>
            <w:r>
              <w:rPr>
                <w:rFonts w:ascii="Calibri-Bold" w:hAnsi="Calibri-Bold" w:cs="Calibri-Bold"/>
                <w:b/>
                <w:bCs/>
                <w:sz w:val="22"/>
                <w:szCs w:val="22"/>
                <w:lang w:eastAsia="en-GB"/>
              </w:rPr>
              <w:lastRenderedPageBreak/>
              <w:t>Student Care Role</w:t>
            </w:r>
          </w:p>
          <w:p>
            <w:pPr>
              <w:numPr>
                <w:ilvl w:val="0"/>
                <w:numId w:val="15"/>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Promote and develop positive relationships with students</w:t>
            </w:r>
          </w:p>
          <w:p>
            <w:pPr>
              <w:numPr>
                <w:ilvl w:val="0"/>
                <w:numId w:val="15"/>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Undertake the role of tutor monitoring and supporting the development of the students in your tutor group.</w:t>
            </w:r>
          </w:p>
          <w:p>
            <w:pPr>
              <w:numPr>
                <w:ilvl w:val="0"/>
                <w:numId w:val="15"/>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Take responsibility for the overall academic performance of students in the tutor group against Academy targets.</w:t>
            </w:r>
          </w:p>
          <w:p>
            <w:pPr>
              <w:numPr>
                <w:ilvl w:val="0"/>
                <w:numId w:val="15"/>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Draft an annual tutor report.</w:t>
            </w:r>
          </w:p>
          <w:p>
            <w:pPr>
              <w:autoSpaceDE w:val="0"/>
              <w:autoSpaceDN w:val="0"/>
              <w:adjustRightInd w:val="0"/>
              <w:rPr>
                <w:rFonts w:ascii="Calibri" w:hAnsi="Calibri" w:cs="Calibri"/>
                <w:bCs/>
                <w:color w:val="000000"/>
                <w:sz w:val="22"/>
                <w:szCs w:val="22"/>
                <w:lang w:eastAsia="en-GB"/>
              </w:rPr>
            </w:pPr>
          </w:p>
          <w:p>
            <w:pPr>
              <w:autoSpaceDE w:val="0"/>
              <w:autoSpaceDN w:val="0"/>
              <w:adjustRightInd w:val="0"/>
              <w:rPr>
                <w:rFonts w:ascii="Calibri-Bold" w:hAnsi="Calibri-Bold" w:cs="Calibri-Bold"/>
                <w:b/>
                <w:bCs/>
                <w:sz w:val="22"/>
                <w:szCs w:val="22"/>
                <w:lang w:eastAsia="en-GB"/>
              </w:rPr>
            </w:pPr>
            <w:r>
              <w:rPr>
                <w:rFonts w:ascii="Calibri-Bold" w:hAnsi="Calibri-Bold" w:cs="Calibri-Bold"/>
                <w:b/>
                <w:bCs/>
                <w:sz w:val="22"/>
                <w:szCs w:val="22"/>
                <w:lang w:eastAsia="en-GB"/>
              </w:rPr>
              <w:t>Management and Administration</w:t>
            </w:r>
          </w:p>
          <w:p>
            <w:pPr>
              <w:numPr>
                <w:ilvl w:val="0"/>
                <w:numId w:val="16"/>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Participate in administrative and organisational tasks as required by the role.</w:t>
            </w:r>
          </w:p>
          <w:p>
            <w:pPr>
              <w:numPr>
                <w:ilvl w:val="0"/>
                <w:numId w:val="16"/>
              </w:num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Attendance at assemblies and tutor time.</w:t>
            </w:r>
          </w:p>
          <w:p>
            <w:pPr>
              <w:autoSpaceDE w:val="0"/>
              <w:autoSpaceDN w:val="0"/>
              <w:adjustRightInd w:val="0"/>
              <w:rPr>
                <w:rFonts w:ascii="Calibri" w:hAnsi="Calibri" w:cs="Calibri"/>
                <w:bCs/>
                <w:color w:val="000000"/>
                <w:sz w:val="22"/>
                <w:szCs w:val="22"/>
                <w:lang w:eastAsia="en-GB"/>
              </w:rPr>
            </w:pPr>
          </w:p>
          <w:p>
            <w:pPr>
              <w:autoSpaceDE w:val="0"/>
              <w:autoSpaceDN w:val="0"/>
              <w:adjustRightInd w:val="0"/>
              <w:rPr>
                <w:rFonts w:ascii="Calibri-Bold" w:hAnsi="Calibri-Bold" w:cs="Calibri-Bold"/>
                <w:b/>
                <w:bCs/>
                <w:sz w:val="22"/>
                <w:szCs w:val="22"/>
                <w:lang w:eastAsia="en-GB"/>
              </w:rPr>
            </w:pPr>
            <w:r>
              <w:rPr>
                <w:rFonts w:ascii="Calibri-Bold" w:hAnsi="Calibri-Bold" w:cs="Calibri-Bold"/>
                <w:b/>
                <w:bCs/>
                <w:sz w:val="22"/>
                <w:szCs w:val="22"/>
                <w:lang w:eastAsia="en-GB"/>
              </w:rPr>
              <w:t>Training and Development</w:t>
            </w:r>
          </w:p>
          <w:p>
            <w:pPr>
              <w:autoSpaceDE w:val="0"/>
              <w:autoSpaceDN w:val="0"/>
              <w:adjustRightInd w:val="0"/>
              <w:rPr>
                <w:rFonts w:ascii="Calibri" w:hAnsi="Calibri" w:cs="Calibri"/>
                <w:b/>
                <w:bCs/>
                <w:color w:val="000000"/>
                <w:sz w:val="20"/>
                <w:szCs w:val="20"/>
                <w:lang w:eastAsia="en-GB"/>
              </w:rPr>
            </w:pPr>
          </w:p>
          <w:p>
            <w:pPr>
              <w:autoSpaceDE w:val="0"/>
              <w:autoSpaceDN w:val="0"/>
              <w:adjustRightInd w:val="0"/>
              <w:rPr>
                <w:rFonts w:ascii="Calibri" w:hAnsi="Calibri" w:cs="Calibri"/>
                <w:bCs/>
                <w:color w:val="000000"/>
                <w:sz w:val="22"/>
                <w:szCs w:val="22"/>
                <w:lang w:eastAsia="en-GB"/>
              </w:rPr>
            </w:pPr>
            <w:r>
              <w:rPr>
                <w:rFonts w:ascii="Calibri" w:hAnsi="Calibri" w:cs="Calibri"/>
                <w:bCs/>
                <w:color w:val="000000"/>
                <w:sz w:val="22"/>
                <w:szCs w:val="22"/>
                <w:lang w:eastAsia="en-GB"/>
              </w:rPr>
              <w:t>Teachers will be supported in their individual professional development through the performance management process and by attendance at whole Academy training days.</w:t>
            </w:r>
          </w:p>
          <w:p>
            <w:pPr>
              <w:autoSpaceDE w:val="0"/>
              <w:autoSpaceDN w:val="0"/>
              <w:adjustRightInd w:val="0"/>
              <w:rPr>
                <w:rFonts w:ascii="Calibri-Bold" w:hAnsi="Calibri-Bold" w:cs="Calibri-Bold"/>
                <w:bCs/>
                <w:sz w:val="22"/>
                <w:szCs w:val="22"/>
                <w:lang w:eastAsia="en-GB"/>
              </w:rPr>
            </w:pPr>
          </w:p>
          <w:p>
            <w:pPr>
              <w:autoSpaceDE w:val="0"/>
              <w:autoSpaceDN w:val="0"/>
              <w:adjustRightInd w:val="0"/>
              <w:rPr>
                <w:rFonts w:ascii="Calibri-Bold" w:hAnsi="Calibri-Bold" w:cs="Calibri-Bold"/>
                <w:b/>
                <w:bCs/>
                <w:sz w:val="22"/>
                <w:szCs w:val="22"/>
                <w:lang w:eastAsia="en-GB"/>
              </w:rPr>
            </w:pPr>
            <w:r>
              <w:rPr>
                <w:rFonts w:ascii="Calibri-Bold" w:hAnsi="Calibri-Bold" w:cs="Calibri-Bold"/>
                <w:b/>
                <w:bCs/>
                <w:sz w:val="22"/>
                <w:szCs w:val="22"/>
                <w:lang w:eastAsia="en-GB"/>
              </w:rPr>
              <w:t>Other Duties</w:t>
            </w:r>
          </w:p>
          <w:p>
            <w:pPr>
              <w:autoSpaceDE w:val="0"/>
              <w:autoSpaceDN w:val="0"/>
              <w:adjustRightInd w:val="0"/>
              <w:rPr>
                <w:rFonts w:ascii="Calibri-Bold" w:hAnsi="Calibri-Bold" w:cs="Calibri-Bold"/>
                <w:bCs/>
                <w:sz w:val="20"/>
                <w:szCs w:val="20"/>
                <w:lang w:eastAsia="en-GB"/>
              </w:rPr>
            </w:pPr>
          </w:p>
          <w:p>
            <w:pPr>
              <w:tabs>
                <w:tab w:val="left" w:pos="2880"/>
              </w:tabs>
              <w:rPr>
                <w:rFonts w:ascii="Calibri" w:hAnsi="Calibri"/>
                <w:b/>
                <w:bCs/>
                <w:color w:val="808080"/>
                <w:sz w:val="22"/>
                <w:szCs w:val="22"/>
              </w:rPr>
            </w:pPr>
            <w:r>
              <w:rPr>
                <w:rFonts w:ascii="Calibri" w:hAnsi="Calibri" w:cs="Calibri"/>
                <w:bCs/>
                <w:color w:val="000000"/>
                <w:sz w:val="22"/>
                <w:szCs w:val="22"/>
                <w:lang w:eastAsia="en-GB"/>
              </w:rPr>
              <w:t>Undertake any other duties as deemed appropriate by the Principal.</w:t>
            </w:r>
          </w:p>
        </w:tc>
      </w:tr>
      <w:tr>
        <w:tc>
          <w:tcPr>
            <w:tcW w:w="10065" w:type="dxa"/>
            <w:gridSpan w:val="2"/>
            <w:shd w:val="clear" w:color="auto" w:fill="5B9BD5"/>
          </w:tcPr>
          <w:p>
            <w:pPr>
              <w:tabs>
                <w:tab w:val="left" w:pos="2880"/>
              </w:tabs>
              <w:spacing w:before="50" w:after="50"/>
              <w:jc w:val="both"/>
              <w:rPr>
                <w:rFonts w:ascii="Calibri" w:hAnsi="Calibri"/>
                <w:b/>
                <w:color w:val="FFFFFF"/>
                <w:sz w:val="22"/>
                <w:szCs w:val="22"/>
              </w:rPr>
            </w:pPr>
            <w:r>
              <w:rPr>
                <w:rFonts w:ascii="Calibri" w:hAnsi="Calibri"/>
                <w:b/>
                <w:color w:val="FFFFFF"/>
                <w:sz w:val="22"/>
                <w:szCs w:val="22"/>
              </w:rPr>
              <w:lastRenderedPageBreak/>
              <w:t xml:space="preserve">Collegiate Responsibility </w:t>
            </w:r>
          </w:p>
        </w:tc>
      </w:tr>
      <w:tr>
        <w:tc>
          <w:tcPr>
            <w:tcW w:w="10065" w:type="dxa"/>
            <w:gridSpan w:val="2"/>
            <w:shd w:val="clear" w:color="auto" w:fill="DEEAF6"/>
          </w:tcPr>
          <w:p>
            <w:pPr>
              <w:spacing w:before="50" w:after="50" w:line="245" w:lineRule="auto"/>
              <w:ind w:left="103" w:right="-15" w:hanging="10"/>
              <w:rPr>
                <w:bCs/>
                <w:sz w:val="22"/>
                <w:szCs w:val="22"/>
              </w:rPr>
            </w:pPr>
            <w:r>
              <w:rPr>
                <w:rFonts w:ascii="Calibri" w:hAnsi="Calibri" w:cs="Calibri"/>
                <w:bCs/>
                <w:sz w:val="22"/>
                <w:szCs w:val="22"/>
              </w:rPr>
              <w:t xml:space="preserve">In addition to the specific responsibilities of this post, every member of staff at Thomas Clarkson Academy will commit to : </w:t>
            </w:r>
          </w:p>
          <w:p>
            <w:pPr>
              <w:numPr>
                <w:ilvl w:val="0"/>
                <w:numId w:val="9"/>
              </w:numPr>
              <w:spacing w:before="50" w:after="50" w:line="246" w:lineRule="auto"/>
              <w:ind w:right="-15" w:hanging="720"/>
              <w:rPr>
                <w:bCs/>
                <w:sz w:val="22"/>
                <w:szCs w:val="22"/>
              </w:rPr>
            </w:pPr>
            <w:r>
              <w:rPr>
                <w:rFonts w:ascii="Calibri" w:hAnsi="Calibri" w:cs="Calibri"/>
                <w:bCs/>
                <w:i/>
                <w:sz w:val="22"/>
                <w:szCs w:val="22"/>
              </w:rPr>
              <w:t xml:space="preserve">Providing a courteous and efficient service to students at all time </w:t>
            </w:r>
          </w:p>
          <w:p>
            <w:pPr>
              <w:numPr>
                <w:ilvl w:val="0"/>
                <w:numId w:val="9"/>
              </w:numPr>
              <w:spacing w:before="50" w:after="50" w:line="246" w:lineRule="auto"/>
              <w:ind w:right="-15" w:hanging="720"/>
              <w:rPr>
                <w:bCs/>
                <w:sz w:val="22"/>
                <w:szCs w:val="22"/>
              </w:rPr>
            </w:pPr>
            <w:r>
              <w:rPr>
                <w:rFonts w:ascii="Calibri" w:hAnsi="Calibri" w:cs="Calibri"/>
                <w:bCs/>
                <w:i/>
                <w:sz w:val="22"/>
                <w:szCs w:val="22"/>
              </w:rPr>
              <w:t xml:space="preserve">Using their influence with other staff and students to promote high standards of behaviour and order within the school </w:t>
            </w:r>
          </w:p>
          <w:p>
            <w:pPr>
              <w:numPr>
                <w:ilvl w:val="0"/>
                <w:numId w:val="9"/>
              </w:numPr>
              <w:spacing w:before="50" w:after="50" w:line="246" w:lineRule="auto"/>
              <w:ind w:right="-15" w:hanging="720"/>
              <w:rPr>
                <w:bCs/>
                <w:sz w:val="22"/>
                <w:szCs w:val="22"/>
              </w:rPr>
            </w:pPr>
            <w:r>
              <w:rPr>
                <w:rFonts w:ascii="Calibri" w:hAnsi="Calibri" w:cs="Calibri"/>
                <w:bCs/>
                <w:i/>
                <w:sz w:val="22"/>
                <w:szCs w:val="22"/>
              </w:rPr>
              <w:t xml:space="preserve">Working to maintain the school at the forefront of educational practice </w:t>
            </w:r>
          </w:p>
          <w:p>
            <w:pPr>
              <w:numPr>
                <w:ilvl w:val="0"/>
                <w:numId w:val="9"/>
              </w:numPr>
              <w:spacing w:before="50" w:after="50" w:line="246" w:lineRule="auto"/>
              <w:ind w:right="-15" w:hanging="720"/>
              <w:rPr>
                <w:sz w:val="22"/>
                <w:szCs w:val="22"/>
              </w:rPr>
            </w:pPr>
            <w:r>
              <w:rPr>
                <w:rFonts w:ascii="Calibri" w:hAnsi="Calibri" w:cs="Calibri"/>
                <w:bCs/>
                <w:i/>
                <w:sz w:val="22"/>
                <w:szCs w:val="22"/>
              </w:rPr>
              <w:t>Fostering and sustaining a culture of independence and creativity in all aspects of the school’s operation</w:t>
            </w:r>
            <w:r>
              <w:rPr>
                <w:rFonts w:ascii="Calibri" w:hAnsi="Calibri" w:cs="Calibri"/>
                <w:b/>
                <w:bCs/>
                <w:sz w:val="22"/>
                <w:szCs w:val="22"/>
              </w:rPr>
              <w:t xml:space="preserve"> </w:t>
            </w:r>
          </w:p>
        </w:tc>
      </w:tr>
      <w:tr>
        <w:tc>
          <w:tcPr>
            <w:tcW w:w="10065" w:type="dxa"/>
            <w:gridSpan w:val="2"/>
            <w:shd w:val="clear" w:color="auto" w:fill="5B9BD5"/>
          </w:tcPr>
          <w:p>
            <w:pPr>
              <w:tabs>
                <w:tab w:val="left" w:pos="2880"/>
              </w:tabs>
              <w:spacing w:before="50" w:after="50"/>
              <w:rPr>
                <w:rFonts w:ascii="Calibri" w:hAnsi="Calibri"/>
                <w:b/>
                <w:bCs/>
                <w:color w:val="808080"/>
                <w:sz w:val="22"/>
                <w:szCs w:val="22"/>
              </w:rPr>
            </w:pPr>
            <w:r>
              <w:rPr>
                <w:rFonts w:ascii="Calibri" w:hAnsi="Calibri"/>
                <w:b/>
                <w:color w:val="FFFFFF"/>
                <w:sz w:val="22"/>
                <w:szCs w:val="22"/>
              </w:rPr>
              <w:t xml:space="preserve">Performance Management </w:t>
            </w:r>
          </w:p>
        </w:tc>
      </w:tr>
      <w:tr>
        <w:tc>
          <w:tcPr>
            <w:tcW w:w="10065" w:type="dxa"/>
            <w:gridSpan w:val="2"/>
            <w:shd w:val="clear" w:color="auto" w:fill="DEEAF6"/>
          </w:tcPr>
          <w:p>
            <w:pPr>
              <w:tabs>
                <w:tab w:val="left" w:pos="2880"/>
              </w:tabs>
              <w:spacing w:before="50" w:after="50"/>
              <w:rPr>
                <w:rFonts w:ascii="Calibri" w:hAnsi="Calibri"/>
                <w:bCs/>
                <w:sz w:val="22"/>
                <w:szCs w:val="22"/>
              </w:rPr>
            </w:pPr>
            <w:r>
              <w:rPr>
                <w:rFonts w:ascii="Calibri" w:hAnsi="Calibri" w:cs="Calibri"/>
                <w:bCs/>
                <w:sz w:val="22"/>
                <w:szCs w:val="22"/>
              </w:rPr>
              <w:t>All staff will participate in Thomas Clarkson Academy’s Performance Management Review scheme as outlined in the School’s pay and CPD policies.</w:t>
            </w:r>
          </w:p>
        </w:tc>
      </w:tr>
      <w:tr>
        <w:tc>
          <w:tcPr>
            <w:tcW w:w="10065" w:type="dxa"/>
            <w:gridSpan w:val="2"/>
            <w:shd w:val="clear" w:color="auto" w:fill="5B9BD5"/>
          </w:tcPr>
          <w:p>
            <w:pPr>
              <w:tabs>
                <w:tab w:val="left" w:pos="2880"/>
              </w:tabs>
              <w:spacing w:before="50" w:after="50"/>
              <w:rPr>
                <w:rFonts w:ascii="Calibri" w:hAnsi="Calibri"/>
                <w:color w:val="FFFFFF"/>
                <w:sz w:val="22"/>
                <w:szCs w:val="22"/>
              </w:rPr>
            </w:pPr>
            <w:r>
              <w:rPr>
                <w:rFonts w:ascii="Calibri" w:hAnsi="Calibri"/>
                <w:b/>
                <w:color w:val="FFFFFF"/>
                <w:sz w:val="22"/>
                <w:szCs w:val="22"/>
              </w:rPr>
              <w:t>Role Review</w:t>
            </w:r>
          </w:p>
        </w:tc>
      </w:tr>
      <w:tr>
        <w:tc>
          <w:tcPr>
            <w:tcW w:w="10065" w:type="dxa"/>
            <w:gridSpan w:val="2"/>
            <w:shd w:val="clear" w:color="auto" w:fill="DEEAF6"/>
          </w:tcPr>
          <w:p>
            <w:pPr>
              <w:tabs>
                <w:tab w:val="left" w:pos="2880"/>
              </w:tabs>
              <w:spacing w:before="50" w:after="50"/>
              <w:rPr>
                <w:rFonts w:ascii="Calibri" w:hAnsi="Calibri"/>
                <w:bCs/>
                <w:sz w:val="22"/>
                <w:szCs w:val="22"/>
              </w:rPr>
            </w:pPr>
            <w:r>
              <w:rPr>
                <w:rFonts w:ascii="Calibri" w:hAnsi="Calibri" w:cs="Calibri"/>
                <w:bCs/>
                <w:sz w:val="22"/>
                <w:szCs w:val="22"/>
              </w:rPr>
              <w:t>This job description sets out the main duties of this post at the time of drafting. It cannot be read as an exhaustive list. It may be altered at any time in consultation with the post holder subject to the Principal’s approval.</w:t>
            </w:r>
          </w:p>
        </w:tc>
      </w:tr>
    </w:tbl>
    <w:p>
      <w:pPr>
        <w:tabs>
          <w:tab w:val="left" w:pos="2880"/>
        </w:tabs>
        <w:spacing w:before="50" w:after="50"/>
        <w:rPr>
          <w:rFonts w:ascii="Calibri" w:hAnsi="Calibri"/>
          <w:b/>
          <w:bCs/>
          <w:color w:val="808080"/>
          <w:sz w:val="20"/>
          <w:szCs w:val="20"/>
        </w:rPr>
      </w:pPr>
    </w:p>
    <w:p>
      <w:pPr>
        <w:spacing w:after="39" w:line="248" w:lineRule="auto"/>
        <w:jc w:val="center"/>
        <w:rPr>
          <w:rFonts w:ascii="Calibri" w:hAnsi="Calibri"/>
          <w:b/>
          <w:bCs/>
          <w:color w:val="808080"/>
          <w:sz w:val="20"/>
          <w:szCs w:val="20"/>
        </w:rPr>
      </w:pPr>
      <w:r>
        <w:rPr>
          <w:rFonts w:ascii="Calibri" w:hAnsi="Calibri"/>
          <w:b/>
          <w:i/>
          <w:sz w:val="18"/>
          <w:szCs w:val="18"/>
        </w:rPr>
        <w:t xml:space="preserve">Care and respect for others are the values that lie at the heart of our Trust. The Trust is an Equal Opportunities employer and is committed to safeguarding and promoting the welfare of young people. It expects all staff to share this commitment. All posts working with children and young people will be subject to an enhanced disclosures barring service check. </w:t>
      </w:r>
    </w:p>
    <w:p>
      <w:pPr>
        <w:tabs>
          <w:tab w:val="left" w:pos="2880"/>
        </w:tabs>
        <w:spacing w:before="50" w:after="50"/>
        <w:rPr>
          <w:rFonts w:ascii="Calibri" w:hAnsi="Calibri"/>
          <w:b/>
          <w:bCs/>
          <w:color w:val="808080"/>
          <w:sz w:val="20"/>
          <w:szCs w:val="20"/>
        </w:rPr>
      </w:pPr>
    </w:p>
    <w:sectPr>
      <w:headerReference w:type="default" r:id="rId8"/>
      <w:pgSz w:w="12240" w:h="15840" w:code="1"/>
      <w:pgMar w:top="431" w:right="1304" w:bottom="1247" w:left="1304" w:header="2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drawing>
        <wp:anchor distT="0" distB="0" distL="114300" distR="114300" simplePos="0" relativeHeight="251657728" behindDoc="0" locked="0" layoutInCell="1" allowOverlap="1">
          <wp:simplePos x="0" y="0"/>
          <wp:positionH relativeFrom="column">
            <wp:posOffset>4800600</wp:posOffset>
          </wp:positionH>
          <wp:positionV relativeFrom="paragraph">
            <wp:posOffset>85725</wp:posOffset>
          </wp:positionV>
          <wp:extent cx="1619250" cy="768350"/>
          <wp:effectExtent l="0" t="0" r="0" b="0"/>
          <wp:wrapSquare wrapText="bothSides"/>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68350"/>
                  </a:xfrm>
                  <a:prstGeom prst="rect">
                    <a:avLst/>
                  </a:prstGeom>
                  <a:noFill/>
                </pic:spPr>
              </pic:pic>
            </a:graphicData>
          </a:graphic>
          <wp14:sizeRelH relativeFrom="page">
            <wp14:pctWidth>0</wp14:pctWidth>
          </wp14:sizeRelH>
          <wp14:sizeRelV relativeFrom="page">
            <wp14:pctHeight>0</wp14:pctHeight>
          </wp14:sizeRelV>
        </wp:anchor>
      </w:drawing>
    </w:r>
  </w:p>
  <w:p>
    <w:pPr>
      <w:pStyle w:val="Header"/>
    </w:pPr>
  </w:p>
  <w:p>
    <w:pPr>
      <w:pStyle w:val="Header"/>
    </w:pPr>
  </w:p>
  <w:p>
    <w:pPr>
      <w:pStyle w:val="Header"/>
    </w:pPr>
  </w:p>
  <w:p>
    <w:pPr>
      <w:pStyle w:val="Header"/>
    </w:pPr>
  </w:p>
  <w:p>
    <w:pPr>
      <w:pStyle w:val="Header"/>
      <w:jc w:val="both"/>
      <w:rPr>
        <w:rFonts w:ascii="Calibri" w:hAnsi="Calibri" w:cs="Calibri"/>
        <w:b/>
        <w:sz w:val="22"/>
        <w:szCs w:val="22"/>
      </w:rPr>
    </w:pPr>
    <w:r>
      <w:rPr>
        <w:rFonts w:ascii="Calibri" w:hAnsi="Calibri" w:cs="Calibri"/>
        <w:sz w:val="22"/>
        <w:szCs w:val="22"/>
      </w:rPr>
      <w:t xml:space="preserve">Executive Principal: </w:t>
    </w:r>
    <w:r>
      <w:rPr>
        <w:rFonts w:ascii="Calibri" w:hAnsi="Calibri" w:cs="Calibri"/>
        <w:b/>
        <w:sz w:val="22"/>
        <w:szCs w:val="22"/>
      </w:rPr>
      <w:t>Anne Hill</w:t>
    </w:r>
  </w:p>
  <w:p>
    <w:pPr>
      <w:pStyle w:val="Header"/>
      <w:jc w:val="both"/>
      <w:rPr>
        <w:rFonts w:ascii="Calibri" w:hAnsi="Calibri" w:cs="Calibri"/>
        <w:sz w:val="18"/>
        <w:szCs w:val="18"/>
        <w:lang w:val="de-DE"/>
      </w:rPr>
    </w:pPr>
    <w:r>
      <w:rPr>
        <w:rFonts w:ascii="Calibri" w:hAnsi="Calibri" w:cs="Calibri"/>
        <w:sz w:val="18"/>
        <w:szCs w:val="18"/>
      </w:rPr>
      <w:t xml:space="preserve">Corporation Road, Wisbech, Cambridgeshire PE13 2SE.  </w:t>
    </w:r>
    <w:r>
      <w:rPr>
        <w:rFonts w:ascii="Calibri" w:hAnsi="Calibri" w:cs="Calibri"/>
        <w:b/>
        <w:sz w:val="18"/>
        <w:szCs w:val="18"/>
        <w:lang w:val="de-DE"/>
      </w:rPr>
      <w:t>t</w:t>
    </w:r>
    <w:r>
      <w:rPr>
        <w:rFonts w:ascii="Calibri" w:hAnsi="Calibri" w:cs="Calibri"/>
        <w:sz w:val="18"/>
        <w:szCs w:val="18"/>
        <w:lang w:val="de-DE"/>
      </w:rPr>
      <w:t xml:space="preserve"> 01945 585237,  </w:t>
    </w:r>
    <w:r>
      <w:rPr>
        <w:rFonts w:ascii="Calibri" w:hAnsi="Calibri" w:cs="Calibri"/>
        <w:b/>
        <w:sz w:val="18"/>
        <w:szCs w:val="18"/>
        <w:lang w:val="de-DE"/>
      </w:rPr>
      <w:t xml:space="preserve">f </w:t>
    </w:r>
    <w:r>
      <w:rPr>
        <w:rFonts w:ascii="Calibri" w:hAnsi="Calibri" w:cs="Calibri"/>
        <w:sz w:val="18"/>
        <w:szCs w:val="18"/>
        <w:lang w:val="de-DE"/>
      </w:rPr>
      <w:t xml:space="preserve">01945 474226,  </w:t>
    </w:r>
    <w:r>
      <w:rPr>
        <w:rFonts w:ascii="Calibri" w:hAnsi="Calibri" w:cs="Calibri"/>
        <w:b/>
        <w:sz w:val="18"/>
        <w:szCs w:val="18"/>
        <w:lang w:val="de-DE"/>
      </w:rPr>
      <w:t>e</w:t>
    </w:r>
    <w:r>
      <w:rPr>
        <w:rFonts w:ascii="Calibri" w:hAnsi="Calibri" w:cs="Calibri"/>
        <w:sz w:val="18"/>
        <w:szCs w:val="18"/>
        <w:lang w:val="de-DE"/>
      </w:rPr>
      <w:t xml:space="preserve"> HR@thomasclarksonacademy.org</w:t>
    </w:r>
  </w:p>
  <w:p>
    <w:pPr>
      <w:pStyle w:val="Header"/>
      <w:jc w:val="both"/>
      <w:rPr>
        <w:b/>
        <w:lang w:val="de-DE"/>
      </w:rPr>
    </w:pPr>
    <w:r>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744"/>
    <w:multiLevelType w:val="hybridMultilevel"/>
    <w:tmpl w:val="3656E400"/>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7EEF"/>
    <w:multiLevelType w:val="hybridMultilevel"/>
    <w:tmpl w:val="D2E2AC6E"/>
    <w:lvl w:ilvl="0" w:tplc="7688C93C">
      <w:start w:val="1"/>
      <w:numFmt w:val="bullet"/>
      <w:lvlText w:val=""/>
      <w:lvlJc w:val="left"/>
      <w:pPr>
        <w:ind w:left="813"/>
      </w:pPr>
      <w:rPr>
        <w:rFonts w:ascii="Wingdings" w:eastAsia="Wingdings" w:hAnsi="Wingdings" w:cs="Wingdings"/>
        <w:b w:val="0"/>
        <w:i w:val="0"/>
        <w:strike w:val="0"/>
        <w:dstrike w:val="0"/>
        <w:color w:val="5D5E61"/>
        <w:sz w:val="18"/>
        <w:u w:val="none" w:color="000000"/>
        <w:bdr w:val="none" w:sz="0" w:space="0" w:color="auto"/>
        <w:shd w:val="clear" w:color="auto" w:fill="auto"/>
        <w:vertAlign w:val="baseline"/>
      </w:rPr>
    </w:lvl>
    <w:lvl w:ilvl="1" w:tplc="ADA4DBD0">
      <w:start w:val="1"/>
      <w:numFmt w:val="bullet"/>
      <w:lvlText w:val="o"/>
      <w:lvlJc w:val="left"/>
      <w:pPr>
        <w:ind w:left="1173"/>
      </w:pPr>
      <w:rPr>
        <w:rFonts w:ascii="Wingdings" w:eastAsia="Wingdings" w:hAnsi="Wingdings" w:cs="Wingdings"/>
        <w:b w:val="0"/>
        <w:i w:val="0"/>
        <w:strike w:val="0"/>
        <w:dstrike w:val="0"/>
        <w:color w:val="5D5E61"/>
        <w:sz w:val="18"/>
        <w:u w:val="none" w:color="000000"/>
        <w:bdr w:val="none" w:sz="0" w:space="0" w:color="auto"/>
        <w:shd w:val="clear" w:color="auto" w:fill="auto"/>
        <w:vertAlign w:val="baseline"/>
      </w:rPr>
    </w:lvl>
    <w:lvl w:ilvl="2" w:tplc="6F987ACC">
      <w:start w:val="1"/>
      <w:numFmt w:val="bullet"/>
      <w:lvlText w:val="▪"/>
      <w:lvlJc w:val="left"/>
      <w:pPr>
        <w:ind w:left="1893"/>
      </w:pPr>
      <w:rPr>
        <w:rFonts w:ascii="Wingdings" w:eastAsia="Wingdings" w:hAnsi="Wingdings" w:cs="Wingdings"/>
        <w:b w:val="0"/>
        <w:i w:val="0"/>
        <w:strike w:val="0"/>
        <w:dstrike w:val="0"/>
        <w:color w:val="5D5E61"/>
        <w:sz w:val="18"/>
        <w:u w:val="none" w:color="000000"/>
        <w:bdr w:val="none" w:sz="0" w:space="0" w:color="auto"/>
        <w:shd w:val="clear" w:color="auto" w:fill="auto"/>
        <w:vertAlign w:val="baseline"/>
      </w:rPr>
    </w:lvl>
    <w:lvl w:ilvl="3" w:tplc="69C2C0F4">
      <w:start w:val="1"/>
      <w:numFmt w:val="bullet"/>
      <w:lvlText w:val="•"/>
      <w:lvlJc w:val="left"/>
      <w:pPr>
        <w:ind w:left="2613"/>
      </w:pPr>
      <w:rPr>
        <w:rFonts w:ascii="Wingdings" w:eastAsia="Wingdings" w:hAnsi="Wingdings" w:cs="Wingdings"/>
        <w:b w:val="0"/>
        <w:i w:val="0"/>
        <w:strike w:val="0"/>
        <w:dstrike w:val="0"/>
        <w:color w:val="5D5E61"/>
        <w:sz w:val="18"/>
        <w:u w:val="none" w:color="000000"/>
        <w:bdr w:val="none" w:sz="0" w:space="0" w:color="auto"/>
        <w:shd w:val="clear" w:color="auto" w:fill="auto"/>
        <w:vertAlign w:val="baseline"/>
      </w:rPr>
    </w:lvl>
    <w:lvl w:ilvl="4" w:tplc="C26A14E8">
      <w:start w:val="1"/>
      <w:numFmt w:val="bullet"/>
      <w:lvlText w:val="o"/>
      <w:lvlJc w:val="left"/>
      <w:pPr>
        <w:ind w:left="3333"/>
      </w:pPr>
      <w:rPr>
        <w:rFonts w:ascii="Wingdings" w:eastAsia="Wingdings" w:hAnsi="Wingdings" w:cs="Wingdings"/>
        <w:b w:val="0"/>
        <w:i w:val="0"/>
        <w:strike w:val="0"/>
        <w:dstrike w:val="0"/>
        <w:color w:val="5D5E61"/>
        <w:sz w:val="18"/>
        <w:u w:val="none" w:color="000000"/>
        <w:bdr w:val="none" w:sz="0" w:space="0" w:color="auto"/>
        <w:shd w:val="clear" w:color="auto" w:fill="auto"/>
        <w:vertAlign w:val="baseline"/>
      </w:rPr>
    </w:lvl>
    <w:lvl w:ilvl="5" w:tplc="5D6A1C4A">
      <w:start w:val="1"/>
      <w:numFmt w:val="bullet"/>
      <w:lvlText w:val="▪"/>
      <w:lvlJc w:val="left"/>
      <w:pPr>
        <w:ind w:left="4053"/>
      </w:pPr>
      <w:rPr>
        <w:rFonts w:ascii="Wingdings" w:eastAsia="Wingdings" w:hAnsi="Wingdings" w:cs="Wingdings"/>
        <w:b w:val="0"/>
        <w:i w:val="0"/>
        <w:strike w:val="0"/>
        <w:dstrike w:val="0"/>
        <w:color w:val="5D5E61"/>
        <w:sz w:val="18"/>
        <w:u w:val="none" w:color="000000"/>
        <w:bdr w:val="none" w:sz="0" w:space="0" w:color="auto"/>
        <w:shd w:val="clear" w:color="auto" w:fill="auto"/>
        <w:vertAlign w:val="baseline"/>
      </w:rPr>
    </w:lvl>
    <w:lvl w:ilvl="6" w:tplc="8D44E91E">
      <w:start w:val="1"/>
      <w:numFmt w:val="bullet"/>
      <w:lvlText w:val="•"/>
      <w:lvlJc w:val="left"/>
      <w:pPr>
        <w:ind w:left="4773"/>
      </w:pPr>
      <w:rPr>
        <w:rFonts w:ascii="Wingdings" w:eastAsia="Wingdings" w:hAnsi="Wingdings" w:cs="Wingdings"/>
        <w:b w:val="0"/>
        <w:i w:val="0"/>
        <w:strike w:val="0"/>
        <w:dstrike w:val="0"/>
        <w:color w:val="5D5E61"/>
        <w:sz w:val="18"/>
        <w:u w:val="none" w:color="000000"/>
        <w:bdr w:val="none" w:sz="0" w:space="0" w:color="auto"/>
        <w:shd w:val="clear" w:color="auto" w:fill="auto"/>
        <w:vertAlign w:val="baseline"/>
      </w:rPr>
    </w:lvl>
    <w:lvl w:ilvl="7" w:tplc="D8F019B0">
      <w:start w:val="1"/>
      <w:numFmt w:val="bullet"/>
      <w:lvlText w:val="o"/>
      <w:lvlJc w:val="left"/>
      <w:pPr>
        <w:ind w:left="5493"/>
      </w:pPr>
      <w:rPr>
        <w:rFonts w:ascii="Wingdings" w:eastAsia="Wingdings" w:hAnsi="Wingdings" w:cs="Wingdings"/>
        <w:b w:val="0"/>
        <w:i w:val="0"/>
        <w:strike w:val="0"/>
        <w:dstrike w:val="0"/>
        <w:color w:val="5D5E61"/>
        <w:sz w:val="18"/>
        <w:u w:val="none" w:color="000000"/>
        <w:bdr w:val="none" w:sz="0" w:space="0" w:color="auto"/>
        <w:shd w:val="clear" w:color="auto" w:fill="auto"/>
        <w:vertAlign w:val="baseline"/>
      </w:rPr>
    </w:lvl>
    <w:lvl w:ilvl="8" w:tplc="B666D6F2">
      <w:start w:val="1"/>
      <w:numFmt w:val="bullet"/>
      <w:lvlText w:val="▪"/>
      <w:lvlJc w:val="left"/>
      <w:pPr>
        <w:ind w:left="6213"/>
      </w:pPr>
      <w:rPr>
        <w:rFonts w:ascii="Wingdings" w:eastAsia="Wingdings" w:hAnsi="Wingdings" w:cs="Wingdings"/>
        <w:b w:val="0"/>
        <w:i w:val="0"/>
        <w:strike w:val="0"/>
        <w:dstrike w:val="0"/>
        <w:color w:val="5D5E61"/>
        <w:sz w:val="18"/>
        <w:u w:val="none" w:color="000000"/>
        <w:bdr w:val="none" w:sz="0" w:space="0" w:color="auto"/>
        <w:shd w:val="clear" w:color="auto" w:fill="auto"/>
        <w:vertAlign w:val="baseline"/>
      </w:rPr>
    </w:lvl>
  </w:abstractNum>
  <w:abstractNum w:abstractNumId="2" w15:restartNumberingAfterBreak="0">
    <w:nsid w:val="0AFE5C8C"/>
    <w:multiLevelType w:val="hybridMultilevel"/>
    <w:tmpl w:val="4AACF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86C42"/>
    <w:multiLevelType w:val="hybridMultilevel"/>
    <w:tmpl w:val="8582370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42384"/>
    <w:multiLevelType w:val="hybridMultilevel"/>
    <w:tmpl w:val="E22E83B4"/>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0350B"/>
    <w:multiLevelType w:val="hybridMultilevel"/>
    <w:tmpl w:val="F3F23CC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36035DAA"/>
    <w:multiLevelType w:val="hybridMultilevel"/>
    <w:tmpl w:val="DBD8A86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A7B96"/>
    <w:multiLevelType w:val="hybridMultilevel"/>
    <w:tmpl w:val="23503C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41A94338"/>
    <w:multiLevelType w:val="hybridMultilevel"/>
    <w:tmpl w:val="D8583DB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4AA27B9F"/>
    <w:multiLevelType w:val="hybridMultilevel"/>
    <w:tmpl w:val="CB8C652E"/>
    <w:lvl w:ilvl="0" w:tplc="1D884252">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BAE4E86">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45463D4">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9EA6148">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5801D1A">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50449E8">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C927F34">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F92EDF8">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8CED4CE">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4F8A1590"/>
    <w:multiLevelType w:val="hybridMultilevel"/>
    <w:tmpl w:val="E0B4D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721F7"/>
    <w:multiLevelType w:val="hybridMultilevel"/>
    <w:tmpl w:val="5C629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875EE3"/>
    <w:multiLevelType w:val="hybridMultilevel"/>
    <w:tmpl w:val="9AD8F014"/>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0D0163"/>
    <w:multiLevelType w:val="hybridMultilevel"/>
    <w:tmpl w:val="CB7251B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53E05"/>
    <w:multiLevelType w:val="hybridMultilevel"/>
    <w:tmpl w:val="541C474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1"/>
  </w:num>
  <w:num w:numId="7">
    <w:abstractNumId w:val="10"/>
  </w:num>
  <w:num w:numId="8">
    <w:abstractNumId w:val="9"/>
  </w:num>
  <w:num w:numId="9">
    <w:abstractNumId w:val="1"/>
  </w:num>
  <w:num w:numId="10">
    <w:abstractNumId w:val="4"/>
  </w:num>
  <w:num w:numId="11">
    <w:abstractNumId w:val="3"/>
  </w:num>
  <w:num w:numId="12">
    <w:abstractNumId w:val="14"/>
  </w:num>
  <w:num w:numId="13">
    <w:abstractNumId w:val="0"/>
  </w:num>
  <w:num w:numId="14">
    <w:abstractNumId w:val="13"/>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0D2DD3-3ECD-4D2F-88E6-A1484EE2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cs="Times New Roman"/>
      <w:b/>
      <w:bCs/>
      <w:sz w:val="24"/>
      <w:szCs w:val="24"/>
      <w:lang w:val="en-GB" w:eastAsia="x-none"/>
    </w:rPr>
  </w:style>
  <w:style w:type="paragraph" w:customStyle="1" w:styleId="Default">
    <w:name w:val="Default"/>
    <w:pPr>
      <w:autoSpaceDE w:val="0"/>
      <w:autoSpaceDN w:val="0"/>
      <w:adjustRightInd w:val="0"/>
    </w:pPr>
    <w:rPr>
      <w:rFonts w:eastAsia="Times New Roman" w:cs="Calibri"/>
      <w:color w:val="000000"/>
      <w:sz w:val="24"/>
      <w:szCs w:val="24"/>
      <w:lang w:val="en-US" w:eastAsia="en-US"/>
    </w:rPr>
  </w:style>
  <w:style w:type="character" w:styleId="Hyperlink">
    <w:name w:val="Hyperlink"/>
    <w:rPr>
      <w:rFonts w:cs="Times New Roman"/>
      <w:color w:val="0000FF"/>
      <w:u w:val="single"/>
    </w:rPr>
  </w:style>
  <w:style w:type="paragraph" w:styleId="Header">
    <w:name w:val="header"/>
    <w:basedOn w:val="Normal"/>
    <w:link w:val="HeaderChar"/>
    <w:semiHidden/>
    <w:pPr>
      <w:tabs>
        <w:tab w:val="center" w:pos="4680"/>
        <w:tab w:val="right" w:pos="9360"/>
      </w:tabs>
    </w:p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680"/>
        <w:tab w:val="right" w:pos="9360"/>
      </w:tabs>
    </w:pPr>
  </w:style>
  <w:style w:type="character" w:customStyle="1" w:styleId="FooterChar">
    <w:name w:val="Footer Char"/>
    <w:link w:val="Footer"/>
    <w:semiHidden/>
    <w:locked/>
    <w:rPr>
      <w:rFonts w:cs="Times New Roman"/>
    </w:rPr>
  </w:style>
  <w:style w:type="paragraph" w:styleId="BodyText">
    <w:name w:val="Body Text"/>
    <w:basedOn w:val="Normal"/>
    <w:link w:val="BodyTextChar"/>
    <w:semiHidden/>
    <w:rPr>
      <w:rFonts w:ascii="Arial" w:hAnsi="Arial" w:cs="Arial"/>
      <w:sz w:val="20"/>
    </w:rPr>
  </w:style>
  <w:style w:type="character" w:customStyle="1" w:styleId="BodyTextChar">
    <w:name w:val="Body Text Char"/>
    <w:link w:val="BodyText"/>
    <w:semiHidden/>
    <w:locked/>
    <w:rPr>
      <w:rFonts w:ascii="Arial" w:hAnsi="Arial" w:cs="Arial"/>
      <w:sz w:val="24"/>
      <w:szCs w:val="24"/>
      <w:lang w:val="en-GB" w:eastAsia="x-none"/>
    </w:rPr>
  </w:style>
  <w:style w:type="paragraph" w:styleId="BodyText2">
    <w:name w:val="Body Text 2"/>
    <w:basedOn w:val="Normal"/>
    <w:link w:val="BodyText2Char"/>
    <w:semiHidden/>
    <w:pPr>
      <w:jc w:val="both"/>
    </w:pPr>
    <w:rPr>
      <w:rFonts w:ascii="Arial" w:hAnsi="Arial" w:cs="Arial"/>
      <w:sz w:val="20"/>
    </w:rPr>
  </w:style>
  <w:style w:type="character" w:customStyle="1" w:styleId="BodyText2Char">
    <w:name w:val="Body Text 2 Char"/>
    <w:link w:val="BodyText2"/>
    <w:semiHidden/>
    <w:locked/>
    <w:rPr>
      <w:rFonts w:ascii="Arial" w:hAnsi="Arial" w:cs="Arial"/>
      <w:sz w:val="24"/>
      <w:szCs w:val="24"/>
      <w:lang w:val="en-GB" w:eastAsia="x-non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imes New Roman" w:hAnsi="Times New Roman" w:cs="Times New Roman"/>
      <w:sz w:val="2"/>
      <w:lang w:val="x-none" w:eastAsia="en-US"/>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2-Accent5">
    <w:name w:val="Grid Table 2 Accent 5"/>
    <w:basedOn w:val="TableNormal"/>
    <w:uiPriority w:val="4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1">
    <w:name w:val="Grid Table 2 Accent 1"/>
    <w:basedOn w:val="TableNormal"/>
    <w:uiPriority w:val="4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1Light-Accent5">
    <w:name w:val="Grid Table 1 Light Accent 5"/>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5Dark-Accent5">
    <w:name w:val="Grid Table 5 Dark Accent 5"/>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MediumGrid1-Accent5">
    <w:name w:val="Medium Grid 1 Accent 5"/>
    <w:basedOn w:val="TableNormal"/>
    <w:uiPriority w:val="6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ListTable4-Accent1">
    <w:name w:val="List Table 4 Accent 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AAC0-DBDE-42BA-B6AA-84527235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16F7A652</Template>
  <TotalTime>0</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Post Details:</vt:lpstr>
    </vt:vector>
  </TitlesOfParts>
  <Company>CCC BSF</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Details:</dc:title>
  <dc:subject/>
  <dc:creator>acampbel</dc:creator>
  <cp:keywords/>
  <cp:lastModifiedBy>Mrs T Wilkes</cp:lastModifiedBy>
  <cp:revision>2</cp:revision>
  <cp:lastPrinted>2017-01-17T18:23:00Z</cp:lastPrinted>
  <dcterms:created xsi:type="dcterms:W3CDTF">2018-01-18T13:07:00Z</dcterms:created>
  <dcterms:modified xsi:type="dcterms:W3CDTF">2018-01-18T13:07:00Z</dcterms:modified>
</cp:coreProperties>
</file>