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CB" w:rsidRPr="00A23316" w:rsidRDefault="00570BCB" w:rsidP="00570BCB">
      <w:pPr>
        <w:pStyle w:val="Title"/>
        <w:rPr>
          <w:rFonts w:ascii="Arial" w:hAnsi="Arial" w:cs="Arial"/>
          <w:sz w:val="28"/>
        </w:rPr>
      </w:pPr>
      <w:bookmarkStart w:id="0" w:name="_GoBack"/>
      <w:bookmarkEnd w:id="0"/>
      <w:r w:rsidRPr="00A23316">
        <w:rPr>
          <w:rFonts w:ascii="Arial" w:hAnsi="Arial" w:cs="Arial"/>
          <w:sz w:val="28"/>
        </w:rPr>
        <w:t>Poole Grammar School</w:t>
      </w:r>
    </w:p>
    <w:p w:rsidR="00570BCB" w:rsidRPr="00CF7889" w:rsidRDefault="00570BCB" w:rsidP="00570BCB">
      <w:pPr>
        <w:pStyle w:val="Title"/>
        <w:rPr>
          <w:rFonts w:ascii="Arial" w:hAnsi="Arial" w:cs="Arial"/>
          <w:sz w:val="28"/>
        </w:rPr>
      </w:pPr>
      <w:r>
        <w:rPr>
          <w:rFonts w:ascii="Arial" w:hAnsi="Arial" w:cs="Arial"/>
          <w:sz w:val="28"/>
        </w:rPr>
        <w:t>Mathematics Department</w:t>
      </w:r>
    </w:p>
    <w:p w:rsidR="00570BCB" w:rsidRPr="00A23316" w:rsidRDefault="00570BCB" w:rsidP="00570BCB">
      <w:pPr>
        <w:pStyle w:val="Subtitle"/>
        <w:rPr>
          <w:rFonts w:ascii="Arial" w:hAnsi="Arial" w:cs="Arial"/>
          <w:sz w:val="24"/>
        </w:rPr>
      </w:pPr>
      <w:r w:rsidRPr="005B3419">
        <w:rPr>
          <w:rFonts w:ascii="Arial" w:hAnsi="Arial" w:cs="Arial"/>
          <w:sz w:val="24"/>
        </w:rPr>
        <w:t>Personnel</w:t>
      </w:r>
    </w:p>
    <w:p w:rsidR="00570BCB" w:rsidRDefault="00570BCB" w:rsidP="00570BCB">
      <w:pPr>
        <w:pStyle w:val="BodyText"/>
        <w:rPr>
          <w:rFonts w:ascii="Arial" w:hAnsi="Arial" w:cs="Arial"/>
          <w:sz w:val="22"/>
        </w:rPr>
      </w:pPr>
    </w:p>
    <w:p w:rsidR="00570BCB" w:rsidRDefault="00570BCB" w:rsidP="00570BCB">
      <w:pPr>
        <w:pStyle w:val="BodyText"/>
        <w:rPr>
          <w:rFonts w:ascii="Arial" w:hAnsi="Arial" w:cs="Arial"/>
          <w:sz w:val="22"/>
        </w:rPr>
      </w:pPr>
      <w:r>
        <w:rPr>
          <w:rFonts w:ascii="Arial" w:hAnsi="Arial" w:cs="Arial"/>
          <w:sz w:val="22"/>
        </w:rPr>
        <w:t>From September 201</w:t>
      </w:r>
      <w:r w:rsidR="00963169">
        <w:rPr>
          <w:rFonts w:ascii="Arial" w:hAnsi="Arial" w:cs="Arial"/>
          <w:sz w:val="22"/>
        </w:rPr>
        <w:t>9</w:t>
      </w:r>
      <w:r>
        <w:rPr>
          <w:rFonts w:ascii="Arial" w:hAnsi="Arial" w:cs="Arial"/>
          <w:sz w:val="22"/>
        </w:rPr>
        <w:t xml:space="preserve"> the </w:t>
      </w:r>
      <w:r w:rsidRPr="005B3419">
        <w:rPr>
          <w:rFonts w:ascii="Arial" w:hAnsi="Arial" w:cs="Arial"/>
          <w:sz w:val="22"/>
        </w:rPr>
        <w:t>department</w:t>
      </w:r>
      <w:r w:rsidR="00963169">
        <w:rPr>
          <w:rFonts w:ascii="Arial" w:hAnsi="Arial" w:cs="Arial"/>
          <w:sz w:val="22"/>
        </w:rPr>
        <w:t xml:space="preserve"> will include</w:t>
      </w:r>
      <w:r w:rsidRPr="005B3419">
        <w:rPr>
          <w:rFonts w:ascii="Arial" w:hAnsi="Arial" w:cs="Arial"/>
          <w:sz w:val="22"/>
        </w:rPr>
        <w:t xml:space="preserve"> of a Head of Department</w:t>
      </w:r>
      <w:r>
        <w:rPr>
          <w:rFonts w:ascii="Arial" w:hAnsi="Arial" w:cs="Arial"/>
          <w:sz w:val="22"/>
        </w:rPr>
        <w:t xml:space="preserve">, a Second in department, a KS5 Coordinator and </w:t>
      </w:r>
      <w:r w:rsidR="00963169">
        <w:rPr>
          <w:rFonts w:ascii="Arial" w:hAnsi="Arial" w:cs="Arial"/>
          <w:sz w:val="22"/>
        </w:rPr>
        <w:t>six</w:t>
      </w:r>
      <w:r>
        <w:rPr>
          <w:rFonts w:ascii="Arial" w:hAnsi="Arial" w:cs="Arial"/>
          <w:sz w:val="22"/>
        </w:rPr>
        <w:t xml:space="preserve"> other teachers. </w:t>
      </w:r>
      <w:r w:rsidR="00963169">
        <w:rPr>
          <w:rFonts w:ascii="Arial" w:hAnsi="Arial" w:cs="Arial"/>
          <w:sz w:val="22"/>
        </w:rPr>
        <w:t xml:space="preserve">Two staff split their time between teaching Mathematics and leading outreach work in further mathematics and in subject specialism training in the South West.  </w:t>
      </w:r>
      <w:r w:rsidRPr="00435493">
        <w:rPr>
          <w:rFonts w:ascii="Arial" w:hAnsi="Arial" w:cs="Arial"/>
          <w:sz w:val="22"/>
        </w:rPr>
        <w:t xml:space="preserve">All teachers are graduates in Mathematics or in a Mathematics related subject and all share a passion for teaching mathematics effectively and making it interesting for </w:t>
      </w:r>
      <w:r w:rsidR="00963169">
        <w:rPr>
          <w:rFonts w:ascii="Arial" w:hAnsi="Arial" w:cs="Arial"/>
          <w:sz w:val="22"/>
        </w:rPr>
        <w:t>students</w:t>
      </w:r>
      <w:r w:rsidRPr="00435493">
        <w:rPr>
          <w:rFonts w:ascii="Arial" w:hAnsi="Arial" w:cs="Arial"/>
          <w:sz w:val="22"/>
        </w:rPr>
        <w:t>. Subject knowledge and collaboration between teachers both contribute to the excellent ongoing professional development of all members of the mathematics team. Three members of the department teach Further Mathematics at A-level and most teach Mathematics at A-level.</w:t>
      </w:r>
      <w:r>
        <w:rPr>
          <w:rFonts w:ascii="Arial" w:hAnsi="Arial" w:cs="Arial"/>
          <w:sz w:val="22"/>
        </w:rPr>
        <w:t xml:space="preserve"> </w:t>
      </w:r>
    </w:p>
    <w:p w:rsidR="00570BCB" w:rsidRPr="00CE5596" w:rsidRDefault="00570BCB" w:rsidP="00570BCB">
      <w:pPr>
        <w:pStyle w:val="BodyText"/>
        <w:rPr>
          <w:rFonts w:ascii="Arial" w:hAnsi="Arial" w:cs="Arial"/>
        </w:rPr>
      </w:pPr>
    </w:p>
    <w:p w:rsidR="00570BCB" w:rsidRPr="00A23316" w:rsidRDefault="00570BCB" w:rsidP="00570BCB">
      <w:pPr>
        <w:pStyle w:val="BodyText"/>
        <w:rPr>
          <w:rFonts w:ascii="Arial" w:hAnsi="Arial" w:cs="Arial"/>
          <w:b/>
          <w:bCs/>
        </w:rPr>
      </w:pPr>
      <w:r w:rsidRPr="005B3419">
        <w:rPr>
          <w:rFonts w:ascii="Arial" w:hAnsi="Arial" w:cs="Arial"/>
          <w:b/>
          <w:bCs/>
        </w:rPr>
        <w:t>Curriculum</w:t>
      </w:r>
    </w:p>
    <w:p w:rsidR="00570BCB" w:rsidRDefault="00570BCB" w:rsidP="00570BCB">
      <w:pPr>
        <w:pStyle w:val="BodyText"/>
        <w:rPr>
          <w:rFonts w:ascii="Arial" w:hAnsi="Arial" w:cs="Arial"/>
          <w:sz w:val="22"/>
        </w:rPr>
      </w:pPr>
    </w:p>
    <w:p w:rsidR="00570BCB" w:rsidRDefault="00570BCB" w:rsidP="00570BCB">
      <w:pPr>
        <w:pStyle w:val="BodyText"/>
        <w:rPr>
          <w:rFonts w:ascii="Arial" w:hAnsi="Arial" w:cs="Arial"/>
          <w:sz w:val="22"/>
        </w:rPr>
      </w:pPr>
      <w:r>
        <w:rPr>
          <w:rFonts w:ascii="Arial" w:hAnsi="Arial" w:cs="Arial"/>
          <w:sz w:val="22"/>
        </w:rPr>
        <w:t>The school operates on a fortnightly timetable and on a teaching allocation of five hours per class per</w:t>
      </w:r>
      <w:r w:rsidR="00E11E33">
        <w:rPr>
          <w:rFonts w:ascii="Arial" w:hAnsi="Arial" w:cs="Arial"/>
          <w:sz w:val="22"/>
        </w:rPr>
        <w:t xml:space="preserve"> fortnight for years 7</w:t>
      </w:r>
      <w:proofErr w:type="gramStart"/>
      <w:r w:rsidR="00E11E33">
        <w:rPr>
          <w:rFonts w:ascii="Arial" w:hAnsi="Arial" w:cs="Arial"/>
          <w:sz w:val="22"/>
        </w:rPr>
        <w:t>,8</w:t>
      </w:r>
      <w:proofErr w:type="gramEnd"/>
      <w:r w:rsidR="00E11E33">
        <w:rPr>
          <w:rFonts w:ascii="Arial" w:hAnsi="Arial" w:cs="Arial"/>
          <w:sz w:val="22"/>
        </w:rPr>
        <w:t xml:space="preserve"> and 9.</w:t>
      </w:r>
      <w:r>
        <w:rPr>
          <w:rFonts w:ascii="Arial" w:hAnsi="Arial" w:cs="Arial"/>
          <w:sz w:val="22"/>
        </w:rPr>
        <w:t xml:space="preserve"> In Years 7 and 8 the classes are mixed ability as pupils remain in tutor groups for their lessons. In Y9, pupils are placed in sets according to their ability. The present system for setting, from Y9 onward, is that the six tutor groups are split into two blocks of four Mathematics </w:t>
      </w:r>
      <w:r w:rsidR="00E11E33">
        <w:rPr>
          <w:rFonts w:ascii="Arial" w:hAnsi="Arial" w:cs="Arial"/>
          <w:sz w:val="22"/>
        </w:rPr>
        <w:t>classes</w:t>
      </w:r>
      <w:r>
        <w:rPr>
          <w:rFonts w:ascii="Arial" w:hAnsi="Arial" w:cs="Arial"/>
          <w:sz w:val="22"/>
        </w:rPr>
        <w:t xml:space="preserve">. </w:t>
      </w:r>
      <w:r w:rsidR="00E11E33">
        <w:rPr>
          <w:rFonts w:ascii="Arial" w:hAnsi="Arial" w:cs="Arial"/>
          <w:sz w:val="22"/>
        </w:rPr>
        <w:t xml:space="preserve">In each block there are sets 1 and 2 who follow both the GCSE and the FM level 2 courses. The other two sets in each block are mixed ability and focus on the GCSE course. All classes do the </w:t>
      </w:r>
      <w:proofErr w:type="gramStart"/>
      <w:r w:rsidR="00E11E33">
        <w:rPr>
          <w:rFonts w:ascii="Arial" w:hAnsi="Arial" w:cs="Arial"/>
          <w:sz w:val="22"/>
        </w:rPr>
        <w:t>Higher</w:t>
      </w:r>
      <w:proofErr w:type="gramEnd"/>
      <w:r w:rsidR="00E11E33">
        <w:rPr>
          <w:rFonts w:ascii="Arial" w:hAnsi="Arial" w:cs="Arial"/>
          <w:sz w:val="22"/>
        </w:rPr>
        <w:t xml:space="preserve"> level GCSE. </w:t>
      </w:r>
      <w:r>
        <w:rPr>
          <w:rFonts w:ascii="Arial" w:hAnsi="Arial" w:cs="Arial"/>
          <w:sz w:val="22"/>
        </w:rPr>
        <w:t xml:space="preserve">This approach has led to excellent progress at Key Stages 3 and 4 due to the high teacher pupil ratio </w:t>
      </w:r>
      <w:r w:rsidR="00E11E33">
        <w:rPr>
          <w:rFonts w:ascii="Arial" w:hAnsi="Arial" w:cs="Arial"/>
          <w:sz w:val="22"/>
        </w:rPr>
        <w:t>in the GCSE sets</w:t>
      </w:r>
      <w:r>
        <w:rPr>
          <w:rFonts w:ascii="Arial" w:hAnsi="Arial" w:cs="Arial"/>
          <w:sz w:val="22"/>
        </w:rPr>
        <w:t xml:space="preserve"> and the accelerated learning in sets 1 and 2. </w:t>
      </w:r>
    </w:p>
    <w:p w:rsidR="00570BCB" w:rsidRDefault="00570BCB" w:rsidP="00570BCB">
      <w:pPr>
        <w:pStyle w:val="BodyText"/>
        <w:rPr>
          <w:rFonts w:ascii="Arial" w:hAnsi="Arial" w:cs="Arial"/>
          <w:sz w:val="22"/>
        </w:rPr>
      </w:pPr>
    </w:p>
    <w:p w:rsidR="00570BCB" w:rsidRDefault="00570BCB" w:rsidP="00570BCB">
      <w:pPr>
        <w:pStyle w:val="BodyText"/>
        <w:rPr>
          <w:rFonts w:ascii="Arial" w:hAnsi="Arial" w:cs="Arial"/>
          <w:sz w:val="22"/>
        </w:rPr>
      </w:pPr>
      <w:r>
        <w:rPr>
          <w:rFonts w:ascii="Arial" w:hAnsi="Arial" w:cs="Arial"/>
          <w:sz w:val="22"/>
        </w:rPr>
        <w:t xml:space="preserve">The department follows the AQA Higher level </w:t>
      </w:r>
      <w:r w:rsidRPr="00435493">
        <w:rPr>
          <w:rFonts w:ascii="Arial" w:hAnsi="Arial" w:cs="Arial"/>
          <w:sz w:val="22"/>
        </w:rPr>
        <w:t xml:space="preserve">linear course at KS4 and the AQA </w:t>
      </w:r>
      <w:r w:rsidR="007C7EC4">
        <w:rPr>
          <w:rFonts w:ascii="Arial" w:hAnsi="Arial" w:cs="Arial"/>
          <w:sz w:val="22"/>
        </w:rPr>
        <w:t xml:space="preserve">Level 2 </w:t>
      </w:r>
      <w:r w:rsidRPr="00435493">
        <w:rPr>
          <w:rFonts w:ascii="Arial" w:hAnsi="Arial" w:cs="Arial"/>
          <w:sz w:val="22"/>
        </w:rPr>
        <w:t xml:space="preserve">Certificate in Further Mathematics as an additional course for set 1 and 2 classes. This means that almost 100 students are now able take their mathematics beyond GCSE by the end of KS4. The effect of the GCSE FM course has been to provide strong preparation for the study of both Mathematics and Further Mathematics at Advanced level and to </w:t>
      </w:r>
      <w:r w:rsidR="007C7EC4">
        <w:rPr>
          <w:rFonts w:ascii="Arial" w:hAnsi="Arial" w:cs="Arial"/>
          <w:sz w:val="22"/>
        </w:rPr>
        <w:t>maintain the study of Further Mathematics at Advanced Level.</w:t>
      </w:r>
      <w:r w:rsidRPr="00435493">
        <w:rPr>
          <w:rFonts w:ascii="Arial" w:hAnsi="Arial" w:cs="Arial"/>
          <w:sz w:val="22"/>
        </w:rPr>
        <w:t xml:space="preserve"> The numbers of students who choose to study Mathematics or both Mathematics and Further Mathematics at A-level are very healthy</w:t>
      </w:r>
      <w:r w:rsidR="00963169">
        <w:rPr>
          <w:rFonts w:ascii="Arial" w:hAnsi="Arial" w:cs="Arial"/>
          <w:sz w:val="22"/>
        </w:rPr>
        <w:t xml:space="preserve"> and we have recen</w:t>
      </w:r>
      <w:r w:rsidR="00581990">
        <w:rPr>
          <w:rFonts w:ascii="Arial" w:hAnsi="Arial" w:cs="Arial"/>
          <w:sz w:val="22"/>
        </w:rPr>
        <w:t>tly added Core Mathematics to o</w:t>
      </w:r>
      <w:r w:rsidR="00963169">
        <w:rPr>
          <w:rFonts w:ascii="Arial" w:hAnsi="Arial" w:cs="Arial"/>
          <w:sz w:val="22"/>
        </w:rPr>
        <w:t xml:space="preserve">ur post 16 offer.  </w:t>
      </w:r>
      <w:r w:rsidRPr="00435493">
        <w:rPr>
          <w:rFonts w:ascii="Arial" w:hAnsi="Arial" w:cs="Arial"/>
          <w:sz w:val="22"/>
        </w:rPr>
        <w:t xml:space="preserve">100 students regularly choose a </w:t>
      </w:r>
      <w:r w:rsidR="00963169">
        <w:rPr>
          <w:rFonts w:ascii="Arial" w:hAnsi="Arial" w:cs="Arial"/>
          <w:sz w:val="22"/>
        </w:rPr>
        <w:t xml:space="preserve">post-16 </w:t>
      </w:r>
      <w:r w:rsidRPr="00435493">
        <w:rPr>
          <w:rFonts w:ascii="Arial" w:hAnsi="Arial" w:cs="Arial"/>
          <w:sz w:val="22"/>
        </w:rPr>
        <w:t>course in mathematics .</w:t>
      </w:r>
      <w:r w:rsidR="00963169">
        <w:rPr>
          <w:rFonts w:ascii="Arial" w:hAnsi="Arial" w:cs="Arial"/>
          <w:sz w:val="22"/>
        </w:rPr>
        <w:t>each year.</w:t>
      </w:r>
    </w:p>
    <w:p w:rsidR="00570BCB" w:rsidRDefault="00570BCB" w:rsidP="00570BCB">
      <w:pPr>
        <w:pStyle w:val="BodyText"/>
        <w:rPr>
          <w:rFonts w:ascii="Arial" w:hAnsi="Arial" w:cs="Arial"/>
          <w:sz w:val="22"/>
        </w:rPr>
      </w:pPr>
    </w:p>
    <w:p w:rsidR="00570BCB" w:rsidRDefault="00570BCB" w:rsidP="00570BCB">
      <w:pPr>
        <w:pStyle w:val="BodyText"/>
        <w:rPr>
          <w:rFonts w:ascii="Arial" w:hAnsi="Arial" w:cs="Arial"/>
          <w:sz w:val="22"/>
        </w:rPr>
      </w:pPr>
      <w:r>
        <w:rPr>
          <w:rFonts w:ascii="Arial" w:hAnsi="Arial" w:cs="Arial"/>
          <w:sz w:val="22"/>
        </w:rPr>
        <w:t xml:space="preserve">The set of skills within the department makes for a very positive learning environment for teachers as well as </w:t>
      </w:r>
      <w:r w:rsidR="00963169">
        <w:rPr>
          <w:rFonts w:ascii="Arial" w:hAnsi="Arial" w:cs="Arial"/>
          <w:sz w:val="22"/>
        </w:rPr>
        <w:t>students</w:t>
      </w:r>
      <w:r>
        <w:rPr>
          <w:rFonts w:ascii="Arial" w:hAnsi="Arial" w:cs="Arial"/>
          <w:sz w:val="22"/>
        </w:rPr>
        <w:t xml:space="preserve"> and a significant part of department meeting time is devoted to developing our teaching skills and sharing new resources. This is particularly relevant in view of the recent curriculum changes at key stages 4 and 5. </w:t>
      </w:r>
      <w:r w:rsidRPr="00435493">
        <w:rPr>
          <w:rFonts w:ascii="Arial" w:hAnsi="Arial" w:cs="Arial"/>
          <w:sz w:val="22"/>
        </w:rPr>
        <w:t>Our current focus is on assessment against the new grading structure and on the increase in rigour and demand both at GCSE and A-level; also on how</w:t>
      </w:r>
      <w:r>
        <w:rPr>
          <w:rFonts w:ascii="Arial" w:hAnsi="Arial" w:cs="Arial"/>
          <w:sz w:val="22"/>
        </w:rPr>
        <w:t xml:space="preserve"> we may use this increased level of challenge to prepare candidates better for A-level.</w:t>
      </w:r>
    </w:p>
    <w:p w:rsidR="00570BCB" w:rsidRPr="00CE5596" w:rsidRDefault="00570BCB" w:rsidP="00570BCB">
      <w:pPr>
        <w:jc w:val="both"/>
        <w:rPr>
          <w:rFonts w:ascii="Arial" w:hAnsi="Arial" w:cs="Arial"/>
        </w:rPr>
      </w:pPr>
    </w:p>
    <w:p w:rsidR="00570BCB" w:rsidRPr="00A23316" w:rsidRDefault="00963169" w:rsidP="00570BCB">
      <w:pPr>
        <w:pStyle w:val="Heading1"/>
        <w:rPr>
          <w:rFonts w:ascii="Arial" w:hAnsi="Arial" w:cs="Arial"/>
        </w:rPr>
      </w:pPr>
      <w:r>
        <w:rPr>
          <w:rFonts w:ascii="Arial" w:hAnsi="Arial" w:cs="Arial"/>
        </w:rPr>
        <w:t>Student</w:t>
      </w:r>
      <w:r w:rsidR="00570BCB" w:rsidRPr="005B3419">
        <w:rPr>
          <w:rFonts w:ascii="Arial" w:hAnsi="Arial" w:cs="Arial"/>
        </w:rPr>
        <w:t xml:space="preserve"> Achievement</w:t>
      </w:r>
    </w:p>
    <w:p w:rsidR="00570BCB" w:rsidRDefault="00570BCB" w:rsidP="00570BCB">
      <w:pPr>
        <w:jc w:val="both"/>
        <w:rPr>
          <w:rFonts w:ascii="Arial" w:hAnsi="Arial" w:cs="Arial"/>
          <w:sz w:val="22"/>
        </w:rPr>
      </w:pPr>
    </w:p>
    <w:p w:rsidR="00570BCB" w:rsidRPr="00435493" w:rsidRDefault="00570BCB" w:rsidP="00570BCB">
      <w:pPr>
        <w:jc w:val="both"/>
        <w:rPr>
          <w:rFonts w:ascii="Arial" w:hAnsi="Arial" w:cs="Arial"/>
          <w:sz w:val="22"/>
        </w:rPr>
      </w:pPr>
      <w:r w:rsidRPr="00435493">
        <w:rPr>
          <w:rFonts w:ascii="Arial" w:hAnsi="Arial" w:cs="Arial"/>
          <w:sz w:val="22"/>
        </w:rPr>
        <w:t xml:space="preserve">GCSE and A level results are available from the school web site, </w:t>
      </w:r>
      <w:hyperlink r:id="rId5" w:history="1">
        <w:r w:rsidRPr="00435493">
          <w:rPr>
            <w:rStyle w:val="Hyperlink"/>
            <w:rFonts w:ascii="Arial" w:hAnsi="Arial" w:cs="Arial"/>
            <w:sz w:val="22"/>
          </w:rPr>
          <w:t>www.poolegrammar.com</w:t>
        </w:r>
      </w:hyperlink>
      <w:r w:rsidRPr="00435493">
        <w:rPr>
          <w:rFonts w:ascii="Arial" w:hAnsi="Arial" w:cs="Arial"/>
          <w:sz w:val="22"/>
        </w:rPr>
        <w:t xml:space="preserve"> and can also be accessed as an appendix to this document.</w:t>
      </w:r>
    </w:p>
    <w:p w:rsidR="00570BCB" w:rsidRPr="00435493" w:rsidRDefault="00570BCB" w:rsidP="00570BCB">
      <w:pPr>
        <w:rPr>
          <w:rFonts w:ascii="Arial" w:hAnsi="Arial" w:cs="Arial"/>
          <w:sz w:val="22"/>
        </w:rPr>
      </w:pPr>
    </w:p>
    <w:p w:rsidR="00570BCB" w:rsidRDefault="00354DB6" w:rsidP="00570BCB">
      <w:pPr>
        <w:rPr>
          <w:rFonts w:ascii="Arial" w:hAnsi="Arial" w:cs="Arial"/>
          <w:sz w:val="22"/>
        </w:rPr>
      </w:pPr>
      <w:r>
        <w:rPr>
          <w:rFonts w:ascii="Arial" w:hAnsi="Arial" w:cs="Arial"/>
          <w:sz w:val="22"/>
        </w:rPr>
        <w:t>Typically we expect</w:t>
      </w:r>
      <w:r w:rsidR="002D61C2">
        <w:rPr>
          <w:rFonts w:ascii="Arial" w:hAnsi="Arial" w:cs="Arial"/>
          <w:sz w:val="22"/>
        </w:rPr>
        <w:t xml:space="preserve"> at least 80 students to gain a grade 8 or</w:t>
      </w:r>
      <w:r>
        <w:rPr>
          <w:rFonts w:ascii="Arial" w:hAnsi="Arial" w:cs="Arial"/>
          <w:sz w:val="22"/>
        </w:rPr>
        <w:t xml:space="preserve"> 9 at GCSE with 39 students gaining a 9 in 2018. </w:t>
      </w:r>
      <w:r w:rsidR="00A12504">
        <w:rPr>
          <w:rFonts w:ascii="Arial" w:hAnsi="Arial" w:cs="Arial"/>
          <w:sz w:val="22"/>
        </w:rPr>
        <w:t xml:space="preserve">In a typical year group of 180, a consistent </w:t>
      </w:r>
      <w:r w:rsidR="000423D6">
        <w:rPr>
          <w:rFonts w:ascii="Arial" w:hAnsi="Arial" w:cs="Arial"/>
          <w:sz w:val="22"/>
        </w:rPr>
        <w:t>65</w:t>
      </w:r>
      <w:r w:rsidR="00A12504">
        <w:rPr>
          <w:rFonts w:ascii="Arial" w:hAnsi="Arial" w:cs="Arial"/>
          <w:sz w:val="22"/>
        </w:rPr>
        <w:t xml:space="preserve">% of </w:t>
      </w:r>
      <w:r w:rsidR="00570BCB" w:rsidRPr="00435493">
        <w:rPr>
          <w:rFonts w:ascii="Arial" w:hAnsi="Arial" w:cs="Arial"/>
          <w:sz w:val="22"/>
        </w:rPr>
        <w:t>students</w:t>
      </w:r>
      <w:r w:rsidR="00A12504">
        <w:rPr>
          <w:rFonts w:ascii="Arial" w:hAnsi="Arial" w:cs="Arial"/>
          <w:sz w:val="22"/>
        </w:rPr>
        <w:t xml:space="preserve"> gain at least a grade 7 in mathematics. In the AQA FM level 2 qualification</w:t>
      </w:r>
      <w:r w:rsidR="002D61C2">
        <w:rPr>
          <w:rFonts w:ascii="Arial" w:hAnsi="Arial" w:cs="Arial"/>
          <w:sz w:val="22"/>
        </w:rPr>
        <w:t>,</w:t>
      </w:r>
      <w:r w:rsidR="00A12504">
        <w:rPr>
          <w:rFonts w:ascii="Arial" w:hAnsi="Arial" w:cs="Arial"/>
          <w:sz w:val="22"/>
        </w:rPr>
        <w:t xml:space="preserve"> 60 out of 100 entries would expect to gain an A (7) or above, with 30 gaining </w:t>
      </w:r>
      <w:r w:rsidR="002D61C2">
        <w:rPr>
          <w:rFonts w:ascii="Arial" w:hAnsi="Arial" w:cs="Arial"/>
          <w:sz w:val="22"/>
        </w:rPr>
        <w:t xml:space="preserve">an </w:t>
      </w:r>
      <w:r w:rsidR="00A12504">
        <w:rPr>
          <w:rFonts w:ascii="Arial" w:hAnsi="Arial" w:cs="Arial"/>
          <w:sz w:val="22"/>
        </w:rPr>
        <w:t xml:space="preserve">A* (8) </w:t>
      </w:r>
      <w:r w:rsidR="002D61C2">
        <w:rPr>
          <w:rFonts w:ascii="Arial" w:hAnsi="Arial" w:cs="Arial"/>
          <w:sz w:val="22"/>
        </w:rPr>
        <w:t>or</w:t>
      </w:r>
      <w:r w:rsidR="00A12504">
        <w:rPr>
          <w:rFonts w:ascii="Arial" w:hAnsi="Arial" w:cs="Arial"/>
          <w:sz w:val="22"/>
        </w:rPr>
        <w:t xml:space="preserve"> above </w:t>
      </w:r>
      <w:r w:rsidR="00570BCB" w:rsidRPr="00435493">
        <w:rPr>
          <w:rFonts w:ascii="Arial" w:hAnsi="Arial" w:cs="Arial"/>
          <w:sz w:val="22"/>
        </w:rPr>
        <w:t xml:space="preserve">.  At  </w:t>
      </w:r>
      <w:r w:rsidR="002D61C2">
        <w:rPr>
          <w:rFonts w:ascii="Arial" w:hAnsi="Arial" w:cs="Arial"/>
          <w:sz w:val="22"/>
        </w:rPr>
        <w:t xml:space="preserve"> A-level</w:t>
      </w:r>
      <w:r w:rsidR="00570BCB" w:rsidRPr="00435493">
        <w:rPr>
          <w:rFonts w:ascii="Arial" w:hAnsi="Arial" w:cs="Arial"/>
          <w:sz w:val="22"/>
        </w:rPr>
        <w:t xml:space="preserve">, results are in line with ALPS indicators. </w:t>
      </w:r>
      <w:r w:rsidR="00A12504">
        <w:rPr>
          <w:rFonts w:ascii="Arial" w:hAnsi="Arial" w:cs="Arial"/>
          <w:sz w:val="22"/>
        </w:rPr>
        <w:t>73.4</w:t>
      </w:r>
      <w:r w:rsidR="00570BCB" w:rsidRPr="00435493">
        <w:rPr>
          <w:rFonts w:ascii="Arial" w:hAnsi="Arial" w:cs="Arial"/>
          <w:sz w:val="22"/>
        </w:rPr>
        <w:t>% of candidates gained an A* to B grade in Maths in 201</w:t>
      </w:r>
      <w:r w:rsidR="00A12504">
        <w:rPr>
          <w:rFonts w:ascii="Arial" w:hAnsi="Arial" w:cs="Arial"/>
          <w:sz w:val="22"/>
        </w:rPr>
        <w:t>8</w:t>
      </w:r>
      <w:r w:rsidR="002D61C2">
        <w:rPr>
          <w:rFonts w:ascii="Arial" w:hAnsi="Arial" w:cs="Arial"/>
          <w:sz w:val="22"/>
        </w:rPr>
        <w:t xml:space="preserve"> and 67% in 2017</w:t>
      </w:r>
      <w:r w:rsidR="00570BCB" w:rsidRPr="00435493">
        <w:rPr>
          <w:rFonts w:ascii="Arial" w:hAnsi="Arial" w:cs="Arial"/>
          <w:sz w:val="22"/>
        </w:rPr>
        <w:t>.</w:t>
      </w:r>
      <w:r w:rsidR="002D61C2">
        <w:rPr>
          <w:rFonts w:ascii="Arial" w:hAnsi="Arial" w:cs="Arial"/>
          <w:sz w:val="22"/>
        </w:rPr>
        <w:t xml:space="preserve"> 93 out of 94 A-level entries gained an E or better</w:t>
      </w:r>
      <w:r w:rsidR="005F3691">
        <w:rPr>
          <w:rFonts w:ascii="Arial" w:hAnsi="Arial" w:cs="Arial"/>
          <w:sz w:val="22"/>
        </w:rPr>
        <w:t xml:space="preserve"> in 2018</w:t>
      </w:r>
      <w:r w:rsidR="002D61C2">
        <w:rPr>
          <w:rFonts w:ascii="Arial" w:hAnsi="Arial" w:cs="Arial"/>
          <w:sz w:val="22"/>
        </w:rPr>
        <w:t>.</w:t>
      </w:r>
      <w:r w:rsidR="00570BCB" w:rsidRPr="00435493">
        <w:rPr>
          <w:rFonts w:ascii="Arial" w:hAnsi="Arial" w:cs="Arial"/>
          <w:sz w:val="22"/>
        </w:rPr>
        <w:t xml:space="preserve"> Ensuring that</w:t>
      </w:r>
      <w:r w:rsidR="00570BCB">
        <w:rPr>
          <w:rFonts w:ascii="Arial" w:hAnsi="Arial" w:cs="Arial"/>
          <w:sz w:val="22"/>
        </w:rPr>
        <w:t xml:space="preserve"> students make an effective KS4 to KS5 transition remains an important aspect of our work </w:t>
      </w:r>
      <w:r w:rsidR="00570BCB">
        <w:rPr>
          <w:rFonts w:ascii="Arial" w:hAnsi="Arial" w:cs="Arial"/>
          <w:sz w:val="22"/>
        </w:rPr>
        <w:lastRenderedPageBreak/>
        <w:t xml:space="preserve">year on year. In particular, </w:t>
      </w:r>
      <w:r w:rsidR="000423D6">
        <w:rPr>
          <w:rFonts w:ascii="Arial" w:hAnsi="Arial" w:cs="Arial"/>
          <w:sz w:val="22"/>
        </w:rPr>
        <w:t xml:space="preserve">we have focussed on </w:t>
      </w:r>
      <w:r w:rsidR="00570BCB">
        <w:rPr>
          <w:rFonts w:ascii="Arial" w:hAnsi="Arial" w:cs="Arial"/>
          <w:sz w:val="22"/>
        </w:rPr>
        <w:t xml:space="preserve">ways in which we can improve A-level outcomes for those students with lower </w:t>
      </w:r>
      <w:r w:rsidR="00CA47B4">
        <w:rPr>
          <w:rFonts w:ascii="Arial" w:hAnsi="Arial" w:cs="Arial"/>
          <w:sz w:val="22"/>
        </w:rPr>
        <w:t>ALPS</w:t>
      </w:r>
      <w:r w:rsidR="00570BCB">
        <w:rPr>
          <w:rFonts w:ascii="Arial" w:hAnsi="Arial" w:cs="Arial"/>
          <w:sz w:val="22"/>
        </w:rPr>
        <w:t xml:space="preserve"> indicators.</w:t>
      </w:r>
    </w:p>
    <w:p w:rsidR="00570BCB" w:rsidRPr="00D96458" w:rsidRDefault="00570BCB" w:rsidP="00570BCB">
      <w:pPr>
        <w:ind w:firstLine="720"/>
        <w:rPr>
          <w:rFonts w:ascii="Arial" w:hAnsi="Arial" w:cs="Arial"/>
          <w:sz w:val="22"/>
        </w:rPr>
      </w:pPr>
      <w:r>
        <w:rPr>
          <w:rFonts w:ascii="Arial" w:hAnsi="Arial" w:cs="Arial"/>
          <w:sz w:val="22"/>
        </w:rPr>
        <w:t xml:space="preserve"> </w:t>
      </w:r>
    </w:p>
    <w:p w:rsidR="00570BCB" w:rsidRDefault="00570BCB" w:rsidP="00570BCB">
      <w:pPr>
        <w:pStyle w:val="Heading4"/>
        <w:rPr>
          <w:rFonts w:ascii="Arial" w:hAnsi="Arial" w:cs="Arial"/>
        </w:rPr>
      </w:pPr>
    </w:p>
    <w:p w:rsidR="00570BCB" w:rsidRDefault="00570BCB" w:rsidP="00570BCB">
      <w:pPr>
        <w:pStyle w:val="Heading4"/>
        <w:rPr>
          <w:rFonts w:ascii="Arial" w:hAnsi="Arial" w:cs="Arial"/>
        </w:rPr>
      </w:pPr>
      <w:r w:rsidRPr="00A23316">
        <w:rPr>
          <w:rFonts w:ascii="Arial" w:hAnsi="Arial" w:cs="Arial"/>
        </w:rPr>
        <w:t>Accommodation and resources</w:t>
      </w:r>
    </w:p>
    <w:p w:rsidR="00570BCB" w:rsidRPr="00617FD2" w:rsidRDefault="00570BCB" w:rsidP="00570BCB"/>
    <w:p w:rsidR="00570BCB" w:rsidRPr="00A23316" w:rsidRDefault="00570BCB" w:rsidP="00570BCB">
      <w:pPr>
        <w:pStyle w:val="BodyText"/>
        <w:rPr>
          <w:rFonts w:ascii="Arial" w:hAnsi="Arial" w:cs="Arial"/>
          <w:sz w:val="22"/>
        </w:rPr>
      </w:pPr>
      <w:r>
        <w:rPr>
          <w:rFonts w:ascii="Arial" w:hAnsi="Arial" w:cs="Arial"/>
          <w:sz w:val="22"/>
        </w:rPr>
        <w:t xml:space="preserve">The department has a suite of six dedicated mathematics rooms, each equipped </w:t>
      </w:r>
      <w:r w:rsidRPr="00435493">
        <w:rPr>
          <w:rFonts w:ascii="Arial" w:hAnsi="Arial" w:cs="Arial"/>
          <w:sz w:val="22"/>
        </w:rPr>
        <w:t>with a whiteboard and data projector. The enthusiasm within the department means that there is a high level of expertise in the use of Mathematics related software and equipment (for example, graph plotters and dynamic geometry)</w:t>
      </w:r>
      <w:r w:rsidR="001E378E">
        <w:rPr>
          <w:rFonts w:ascii="Arial" w:hAnsi="Arial" w:cs="Arial"/>
          <w:sz w:val="22"/>
        </w:rPr>
        <w:t xml:space="preserve"> and an enthusiasm for sharing and developing teaching methods</w:t>
      </w:r>
      <w:r w:rsidRPr="00435493">
        <w:rPr>
          <w:rFonts w:ascii="Arial" w:hAnsi="Arial" w:cs="Arial"/>
          <w:sz w:val="22"/>
        </w:rPr>
        <w:t xml:space="preserve">. Online subscriptions currently include </w:t>
      </w:r>
      <w:proofErr w:type="spellStart"/>
      <w:r w:rsidRPr="00435493">
        <w:rPr>
          <w:rFonts w:ascii="Arial" w:hAnsi="Arial" w:cs="Arial"/>
          <w:sz w:val="22"/>
        </w:rPr>
        <w:t>Mymaths</w:t>
      </w:r>
      <w:proofErr w:type="spellEnd"/>
      <w:r w:rsidR="002D61C2">
        <w:rPr>
          <w:rFonts w:ascii="Arial" w:hAnsi="Arial" w:cs="Arial"/>
          <w:sz w:val="22"/>
        </w:rPr>
        <w:t xml:space="preserve">, </w:t>
      </w:r>
      <w:proofErr w:type="spellStart"/>
      <w:r w:rsidR="002D61C2">
        <w:rPr>
          <w:rFonts w:ascii="Arial" w:hAnsi="Arial" w:cs="Arial"/>
          <w:sz w:val="22"/>
        </w:rPr>
        <w:t>MathsBox</w:t>
      </w:r>
      <w:proofErr w:type="spellEnd"/>
      <w:r w:rsidRPr="00435493">
        <w:rPr>
          <w:rFonts w:ascii="Arial" w:hAnsi="Arial" w:cs="Arial"/>
          <w:sz w:val="22"/>
        </w:rPr>
        <w:t xml:space="preserve"> and </w:t>
      </w:r>
      <w:proofErr w:type="spellStart"/>
      <w:r w:rsidRPr="00435493">
        <w:rPr>
          <w:rFonts w:ascii="Arial" w:hAnsi="Arial" w:cs="Arial"/>
          <w:sz w:val="22"/>
        </w:rPr>
        <w:t>Kerboodle</w:t>
      </w:r>
      <w:proofErr w:type="spellEnd"/>
      <w:r w:rsidRPr="00435493">
        <w:rPr>
          <w:rFonts w:ascii="Arial" w:hAnsi="Arial" w:cs="Arial"/>
          <w:sz w:val="22"/>
        </w:rPr>
        <w:t xml:space="preserve"> at all key stages. Text books are used to support learning but teaching is definitely not text-book reliant. The mathematics</w:t>
      </w:r>
      <w:r>
        <w:rPr>
          <w:rFonts w:ascii="Arial" w:hAnsi="Arial" w:cs="Arial"/>
          <w:sz w:val="22"/>
        </w:rPr>
        <w:t xml:space="preserve"> teachers’ office provides an excellent workspace for six teachers and there is good storage provision for our resources. Much mathematics related discussion and sharing of expertise takes place in this area, which is a real hub for our informal professional development.</w:t>
      </w:r>
    </w:p>
    <w:p w:rsidR="00570BCB" w:rsidRPr="00A23316" w:rsidRDefault="00570BCB" w:rsidP="00570BCB">
      <w:pPr>
        <w:pStyle w:val="BodyText"/>
        <w:rPr>
          <w:rFonts w:ascii="Arial" w:hAnsi="Arial" w:cs="Arial"/>
        </w:rPr>
      </w:pPr>
    </w:p>
    <w:p w:rsidR="00570BCB" w:rsidRPr="00A23316" w:rsidRDefault="00570BCB" w:rsidP="00570BCB">
      <w:pPr>
        <w:pStyle w:val="Heading5"/>
        <w:rPr>
          <w:rFonts w:ascii="Arial" w:hAnsi="Arial" w:cs="Arial"/>
        </w:rPr>
      </w:pPr>
      <w:proofErr w:type="spellStart"/>
      <w:r w:rsidRPr="00A23316">
        <w:rPr>
          <w:rFonts w:ascii="Arial" w:hAnsi="Arial" w:cs="Arial"/>
        </w:rPr>
        <w:t>Extra curricular</w:t>
      </w:r>
      <w:proofErr w:type="spellEnd"/>
    </w:p>
    <w:p w:rsidR="00570BCB" w:rsidRDefault="00570BCB" w:rsidP="00570BCB">
      <w:pPr>
        <w:rPr>
          <w:rFonts w:ascii="Arial" w:hAnsi="Arial" w:cs="Arial"/>
          <w:sz w:val="22"/>
          <w:szCs w:val="20"/>
        </w:rPr>
      </w:pPr>
    </w:p>
    <w:p w:rsidR="00570BCB" w:rsidRDefault="00570BCB" w:rsidP="00570BCB">
      <w:pPr>
        <w:rPr>
          <w:rFonts w:ascii="Arial" w:hAnsi="Arial" w:cs="Arial"/>
          <w:sz w:val="22"/>
          <w:szCs w:val="20"/>
        </w:rPr>
      </w:pPr>
      <w:r>
        <w:rPr>
          <w:rFonts w:ascii="Arial" w:hAnsi="Arial" w:cs="Arial"/>
          <w:sz w:val="22"/>
          <w:szCs w:val="20"/>
        </w:rPr>
        <w:t xml:space="preserve">These activities mainly take the form of Mathematics Challenges and Mathematics Conferences. We participate in the UKMT Individual and Team Mathematics Challenges at junior, intermediate and senior levels with typically 20% of entrants reaching later stages of the individual competitions. </w:t>
      </w:r>
      <w:r w:rsidRPr="00435493">
        <w:rPr>
          <w:rFonts w:ascii="Arial" w:hAnsi="Arial" w:cs="Arial"/>
          <w:sz w:val="22"/>
          <w:szCs w:val="20"/>
        </w:rPr>
        <w:t xml:space="preserve">Both of our junior and senior teams qualified for the national finals in the UKMT team challenges </w:t>
      </w:r>
      <w:r w:rsidR="00C1393D">
        <w:rPr>
          <w:rFonts w:ascii="Arial" w:hAnsi="Arial" w:cs="Arial"/>
          <w:sz w:val="22"/>
          <w:szCs w:val="20"/>
        </w:rPr>
        <w:t>in 2018</w:t>
      </w:r>
      <w:r w:rsidRPr="00435493">
        <w:rPr>
          <w:rFonts w:ascii="Arial" w:hAnsi="Arial" w:cs="Arial"/>
          <w:sz w:val="22"/>
          <w:szCs w:val="20"/>
        </w:rPr>
        <w:t xml:space="preserve">. </w:t>
      </w:r>
      <w:r w:rsidR="00C1393D">
        <w:rPr>
          <w:rFonts w:ascii="Arial" w:hAnsi="Arial" w:cs="Arial"/>
          <w:sz w:val="22"/>
          <w:szCs w:val="20"/>
        </w:rPr>
        <w:t>Y10 and Y12 students are also offered trips to events organised by the AMSP (Advanced Maths Support Programme)</w:t>
      </w:r>
      <w:r>
        <w:rPr>
          <w:rFonts w:ascii="Arial" w:hAnsi="Arial" w:cs="Arial"/>
          <w:sz w:val="22"/>
          <w:szCs w:val="20"/>
        </w:rPr>
        <w:t xml:space="preserve">. </w:t>
      </w:r>
    </w:p>
    <w:p w:rsidR="00570BCB" w:rsidRDefault="00570BCB" w:rsidP="00570BCB">
      <w:pPr>
        <w:rPr>
          <w:rFonts w:ascii="Arial" w:hAnsi="Arial" w:cs="Arial"/>
          <w:sz w:val="22"/>
          <w:szCs w:val="20"/>
        </w:rPr>
      </w:pPr>
    </w:p>
    <w:p w:rsidR="00570BCB" w:rsidRDefault="00570BCB" w:rsidP="00570BCB">
      <w:pPr>
        <w:rPr>
          <w:rFonts w:ascii="Arial" w:hAnsi="Arial" w:cs="Arial"/>
          <w:sz w:val="22"/>
          <w:szCs w:val="20"/>
        </w:rPr>
      </w:pPr>
      <w:r>
        <w:rPr>
          <w:rFonts w:ascii="Arial" w:hAnsi="Arial" w:cs="Arial"/>
          <w:sz w:val="22"/>
          <w:szCs w:val="20"/>
        </w:rPr>
        <w:t>We offer STEP and AEA level Mathematics tuition to students who require these qualifications for their University courses.</w:t>
      </w:r>
    </w:p>
    <w:p w:rsidR="00570BCB" w:rsidRDefault="00570BCB" w:rsidP="00570BCB">
      <w:pPr>
        <w:rPr>
          <w:rFonts w:ascii="Arial" w:hAnsi="Arial" w:cs="Arial"/>
          <w:sz w:val="22"/>
          <w:szCs w:val="20"/>
        </w:rPr>
      </w:pPr>
    </w:p>
    <w:p w:rsidR="00570BCB" w:rsidRDefault="00570BCB" w:rsidP="00570BCB">
      <w:pPr>
        <w:rPr>
          <w:rFonts w:ascii="Arial" w:hAnsi="Arial" w:cs="Arial"/>
          <w:sz w:val="22"/>
          <w:szCs w:val="20"/>
        </w:rPr>
      </w:pPr>
      <w:r>
        <w:rPr>
          <w:rFonts w:ascii="Arial" w:hAnsi="Arial" w:cs="Arial"/>
          <w:sz w:val="22"/>
          <w:szCs w:val="20"/>
        </w:rPr>
        <w:t>There are also Y13 mathematics ambassadors, typically six of them, who assist with open evenings and the maths lunch time support sessions offered to both main school and Y12/13 students twice each week.</w:t>
      </w:r>
    </w:p>
    <w:p w:rsidR="00C1393D" w:rsidRDefault="00C1393D" w:rsidP="00570BCB">
      <w:pPr>
        <w:rPr>
          <w:rFonts w:ascii="Arial" w:hAnsi="Arial" w:cs="Arial"/>
          <w:sz w:val="22"/>
          <w:szCs w:val="20"/>
        </w:rPr>
      </w:pPr>
    </w:p>
    <w:p w:rsidR="00C1393D" w:rsidRPr="00C1393D" w:rsidRDefault="00C1393D" w:rsidP="00C1393D">
      <w:pPr>
        <w:pStyle w:val="Heading5"/>
        <w:rPr>
          <w:rFonts w:ascii="Arial" w:hAnsi="Arial" w:cs="Arial"/>
        </w:rPr>
      </w:pPr>
      <w:r w:rsidRPr="00C1393D">
        <w:rPr>
          <w:rFonts w:ascii="Arial" w:hAnsi="Arial" w:cs="Arial"/>
        </w:rPr>
        <w:t>Teacher Training</w:t>
      </w:r>
    </w:p>
    <w:p w:rsidR="00570BCB" w:rsidRDefault="00570BCB" w:rsidP="00570BCB">
      <w:pPr>
        <w:pStyle w:val="BodyText2"/>
        <w:ind w:right="720"/>
        <w:rPr>
          <w:rFonts w:ascii="Arial" w:hAnsi="Arial" w:cs="Arial"/>
          <w:sz w:val="24"/>
        </w:rPr>
      </w:pPr>
    </w:p>
    <w:p w:rsidR="00C1393D" w:rsidRPr="00C1393D" w:rsidRDefault="00C1393D" w:rsidP="00570BCB">
      <w:pPr>
        <w:pStyle w:val="BodyText2"/>
        <w:ind w:right="720"/>
        <w:rPr>
          <w:rFonts w:ascii="Arial" w:hAnsi="Arial" w:cs="Arial"/>
          <w:szCs w:val="20"/>
        </w:rPr>
      </w:pPr>
      <w:r w:rsidRPr="00C1393D">
        <w:rPr>
          <w:rFonts w:ascii="Arial" w:hAnsi="Arial" w:cs="Arial"/>
          <w:szCs w:val="20"/>
        </w:rPr>
        <w:t xml:space="preserve">Poole Grammar School is also very involved in the professional development of mathematics teachers. Our school accommodates a nationally funded TSST programme to train teachers </w:t>
      </w:r>
      <w:r>
        <w:rPr>
          <w:rFonts w:ascii="Arial" w:hAnsi="Arial" w:cs="Arial"/>
          <w:szCs w:val="20"/>
        </w:rPr>
        <w:t>from</w:t>
      </w:r>
      <w:r w:rsidRPr="00C1393D">
        <w:rPr>
          <w:rFonts w:ascii="Arial" w:hAnsi="Arial" w:cs="Arial"/>
          <w:szCs w:val="20"/>
        </w:rPr>
        <w:t xml:space="preserve"> other subject disciplines to become mathematics teachers. Teachers in the department provide</w:t>
      </w:r>
      <w:r>
        <w:rPr>
          <w:rFonts w:ascii="Arial" w:hAnsi="Arial" w:cs="Arial"/>
          <w:szCs w:val="20"/>
        </w:rPr>
        <w:t xml:space="preserve"> this training</w:t>
      </w:r>
    </w:p>
    <w:p w:rsidR="00C1393D" w:rsidRPr="00CE5596" w:rsidRDefault="00C1393D" w:rsidP="00570BCB">
      <w:pPr>
        <w:pStyle w:val="BodyText2"/>
        <w:ind w:right="720"/>
        <w:rPr>
          <w:rFonts w:ascii="Arial" w:hAnsi="Arial" w:cs="Arial"/>
          <w:sz w:val="24"/>
        </w:rPr>
      </w:pPr>
    </w:p>
    <w:p w:rsidR="00570BCB" w:rsidRPr="00F35913" w:rsidRDefault="00570BCB" w:rsidP="00570BCB">
      <w:pPr>
        <w:ind w:right="720"/>
        <w:rPr>
          <w:rFonts w:ascii="Arial" w:eastAsiaTheme="majorEastAsia" w:hAnsi="Arial" w:cs="Arial"/>
          <w:color w:val="365F91" w:themeColor="accent1" w:themeShade="BF"/>
        </w:rPr>
      </w:pPr>
      <w:r w:rsidRPr="00F35913">
        <w:rPr>
          <w:rFonts w:ascii="Arial" w:eastAsiaTheme="majorEastAsia" w:hAnsi="Arial" w:cs="Arial"/>
          <w:color w:val="365F91" w:themeColor="accent1" w:themeShade="BF"/>
        </w:rPr>
        <w:t>The Post</w:t>
      </w:r>
    </w:p>
    <w:p w:rsidR="00570BCB" w:rsidRDefault="00570BCB" w:rsidP="00570BCB">
      <w:pPr>
        <w:jc w:val="both"/>
        <w:rPr>
          <w:rFonts w:ascii="Arial" w:hAnsi="Arial" w:cs="Arial"/>
          <w:bCs/>
          <w:sz w:val="22"/>
        </w:rPr>
      </w:pPr>
    </w:p>
    <w:p w:rsidR="00570BCB" w:rsidRDefault="006C4E16" w:rsidP="00570BCB">
      <w:pPr>
        <w:jc w:val="both"/>
        <w:rPr>
          <w:rFonts w:ascii="Arial" w:hAnsi="Arial" w:cs="Arial"/>
          <w:bCs/>
          <w:sz w:val="22"/>
        </w:rPr>
      </w:pPr>
      <w:r>
        <w:rPr>
          <w:rFonts w:ascii="Arial" w:hAnsi="Arial" w:cs="Arial"/>
          <w:bCs/>
          <w:sz w:val="22"/>
        </w:rPr>
        <w:t>We</w:t>
      </w:r>
      <w:r w:rsidR="00C1393D">
        <w:rPr>
          <w:rFonts w:ascii="Arial" w:hAnsi="Arial" w:cs="Arial"/>
          <w:bCs/>
          <w:sz w:val="22"/>
        </w:rPr>
        <w:t xml:space="preserve"> are look</w:t>
      </w:r>
      <w:r w:rsidR="0038424E">
        <w:rPr>
          <w:rFonts w:ascii="Arial" w:hAnsi="Arial" w:cs="Arial"/>
          <w:bCs/>
          <w:sz w:val="22"/>
        </w:rPr>
        <w:t xml:space="preserve">ing for a teacher with </w:t>
      </w:r>
      <w:r w:rsidR="001B59DA">
        <w:rPr>
          <w:rFonts w:ascii="Arial" w:hAnsi="Arial" w:cs="Arial"/>
          <w:bCs/>
          <w:sz w:val="22"/>
        </w:rPr>
        <w:t>a</w:t>
      </w:r>
      <w:r w:rsidR="0038424E">
        <w:rPr>
          <w:rFonts w:ascii="Arial" w:hAnsi="Arial" w:cs="Arial"/>
          <w:bCs/>
          <w:sz w:val="22"/>
        </w:rPr>
        <w:t>n enthusiasm for mathematics</w:t>
      </w:r>
      <w:r w:rsidR="00F35913">
        <w:rPr>
          <w:rFonts w:ascii="Arial" w:hAnsi="Arial" w:cs="Arial"/>
          <w:bCs/>
          <w:sz w:val="22"/>
        </w:rPr>
        <w:t>,</w:t>
      </w:r>
      <w:r w:rsidR="0038424E">
        <w:rPr>
          <w:rFonts w:ascii="Arial" w:hAnsi="Arial" w:cs="Arial"/>
          <w:bCs/>
          <w:sz w:val="22"/>
        </w:rPr>
        <w:t xml:space="preserve"> who can teach from Y7 to Y13 and who would enjoy the opportunity to teach at A-level</w:t>
      </w:r>
      <w:r w:rsidR="00570BCB">
        <w:rPr>
          <w:rFonts w:ascii="Arial" w:hAnsi="Arial" w:cs="Arial"/>
          <w:bCs/>
          <w:sz w:val="22"/>
        </w:rPr>
        <w:t xml:space="preserve">. </w:t>
      </w:r>
      <w:r w:rsidR="000423D6">
        <w:rPr>
          <w:rFonts w:ascii="Arial" w:hAnsi="Arial" w:cs="Arial"/>
          <w:bCs/>
          <w:sz w:val="22"/>
        </w:rPr>
        <w:t xml:space="preserve">It is suited to new entrants to the profession as well as more experienced teachers. </w:t>
      </w:r>
      <w:r w:rsidR="00570BCB">
        <w:rPr>
          <w:rFonts w:ascii="Arial" w:hAnsi="Arial" w:cs="Arial"/>
          <w:bCs/>
          <w:sz w:val="22"/>
        </w:rPr>
        <w:t xml:space="preserve">This position would be an excellent </w:t>
      </w:r>
      <w:r w:rsidR="000423D6">
        <w:rPr>
          <w:rFonts w:ascii="Arial" w:hAnsi="Arial" w:cs="Arial"/>
          <w:bCs/>
          <w:sz w:val="22"/>
        </w:rPr>
        <w:t>opportunity</w:t>
      </w:r>
      <w:r w:rsidR="00570BCB">
        <w:rPr>
          <w:rFonts w:ascii="Arial" w:hAnsi="Arial" w:cs="Arial"/>
          <w:bCs/>
          <w:sz w:val="22"/>
        </w:rPr>
        <w:t xml:space="preserve"> for somebody wishing to work in an environment where the focus is not only on learning real mathematics and helping students achieve at the highest level, but also on differentiating effectively at the upper end of the ability spectrum.</w:t>
      </w:r>
      <w:r w:rsidR="0038424E">
        <w:rPr>
          <w:rFonts w:ascii="Arial" w:hAnsi="Arial" w:cs="Arial"/>
          <w:bCs/>
          <w:sz w:val="22"/>
        </w:rPr>
        <w:t xml:space="preserve"> </w:t>
      </w:r>
      <w:r w:rsidR="00570BCB" w:rsidRPr="00435493">
        <w:rPr>
          <w:rFonts w:ascii="Arial" w:hAnsi="Arial" w:cs="Arial"/>
          <w:bCs/>
          <w:sz w:val="22"/>
        </w:rPr>
        <w:t xml:space="preserve">There will definitely be potential for the person appointed to develop their teaching </w:t>
      </w:r>
      <w:r w:rsidR="0038424E">
        <w:rPr>
          <w:rFonts w:ascii="Arial" w:hAnsi="Arial" w:cs="Arial"/>
          <w:bCs/>
          <w:sz w:val="22"/>
        </w:rPr>
        <w:t>at all levels</w:t>
      </w:r>
      <w:r w:rsidR="00C17044">
        <w:rPr>
          <w:rFonts w:ascii="Arial" w:hAnsi="Arial" w:cs="Arial"/>
          <w:bCs/>
          <w:sz w:val="22"/>
        </w:rPr>
        <w:t xml:space="preserve"> and to gain from being part of a very collaborative team of enthusiastic mathematics educators</w:t>
      </w:r>
      <w:r w:rsidR="00570BCB" w:rsidRPr="00435493">
        <w:rPr>
          <w:rFonts w:ascii="Arial" w:hAnsi="Arial" w:cs="Arial"/>
          <w:bCs/>
          <w:sz w:val="22"/>
        </w:rPr>
        <w:t>. The successful candidate should complement and add value to an already high performing teaching team</w:t>
      </w:r>
      <w:r w:rsidR="00570BCB">
        <w:rPr>
          <w:rFonts w:ascii="Arial" w:hAnsi="Arial" w:cs="Arial"/>
          <w:bCs/>
          <w:sz w:val="22"/>
        </w:rPr>
        <w:t xml:space="preserve">. They will have a passion for both the subject, mathematics and the art of teaching mathematics and they will seek to make a significant impact both within and beyond the class room. Academic results, and the development of teaching, learning and assessment are all areas </w:t>
      </w:r>
      <w:r w:rsidR="000423D6">
        <w:rPr>
          <w:rFonts w:ascii="Arial" w:hAnsi="Arial" w:cs="Arial"/>
          <w:bCs/>
          <w:sz w:val="22"/>
        </w:rPr>
        <w:t xml:space="preserve">to </w:t>
      </w:r>
      <w:r w:rsidR="00570BCB">
        <w:rPr>
          <w:rFonts w:ascii="Arial" w:hAnsi="Arial" w:cs="Arial"/>
          <w:bCs/>
          <w:sz w:val="22"/>
        </w:rPr>
        <w:t xml:space="preserve">which the successful candidate might contribute. </w:t>
      </w:r>
    </w:p>
    <w:p w:rsidR="00570BCB" w:rsidRDefault="00570BCB" w:rsidP="00570BCB">
      <w:pPr>
        <w:jc w:val="both"/>
        <w:rPr>
          <w:rFonts w:ascii="Arial" w:hAnsi="Arial" w:cs="Arial"/>
          <w:bCs/>
          <w:sz w:val="22"/>
        </w:rPr>
      </w:pPr>
    </w:p>
    <w:p w:rsidR="00570BCB" w:rsidRDefault="0038424E" w:rsidP="00570BCB">
      <w:pPr>
        <w:jc w:val="both"/>
        <w:rPr>
          <w:rFonts w:ascii="Arial" w:hAnsi="Arial" w:cs="Arial"/>
          <w:bCs/>
          <w:sz w:val="22"/>
        </w:rPr>
      </w:pPr>
      <w:r>
        <w:rPr>
          <w:rFonts w:ascii="Arial" w:hAnsi="Arial" w:cs="Arial"/>
          <w:bCs/>
          <w:sz w:val="22"/>
        </w:rPr>
        <w:lastRenderedPageBreak/>
        <w:t>As already mentioned, t</w:t>
      </w:r>
      <w:r w:rsidR="00570BCB">
        <w:rPr>
          <w:rFonts w:ascii="Arial" w:hAnsi="Arial" w:cs="Arial"/>
          <w:bCs/>
          <w:sz w:val="22"/>
        </w:rPr>
        <w:t>he school has also been awarded a government grant to train teachers who wish to convert to mathematics or those who are qualified to teach mathematics but have had a career break. This training is offered by the department and coordinated by one of our teachers. Again, this offers another opportunity for professional development.</w:t>
      </w:r>
    </w:p>
    <w:p w:rsidR="00570BCB" w:rsidRDefault="00570BCB" w:rsidP="00570BCB">
      <w:pPr>
        <w:jc w:val="both"/>
        <w:rPr>
          <w:rFonts w:ascii="Arial" w:hAnsi="Arial" w:cs="Arial"/>
          <w:bCs/>
          <w:sz w:val="22"/>
        </w:rPr>
      </w:pPr>
    </w:p>
    <w:p w:rsidR="00570BCB" w:rsidRPr="00CF7889" w:rsidRDefault="00570BCB" w:rsidP="00570BCB">
      <w:pPr>
        <w:jc w:val="both"/>
        <w:rPr>
          <w:rFonts w:ascii="Arial" w:hAnsi="Arial" w:cs="Arial"/>
          <w:bCs/>
          <w:sz w:val="22"/>
        </w:rPr>
      </w:pPr>
      <w:r w:rsidRPr="00CF7889">
        <w:rPr>
          <w:rFonts w:ascii="Arial" w:hAnsi="Arial" w:cs="Arial"/>
          <w:bCs/>
          <w:sz w:val="22"/>
        </w:rPr>
        <w:t xml:space="preserve">You will be a key member of a dynamic department situated in an area of outstanding natural beauty with the Jurassic coast only a few minutes away.  This is coupled with working in a school renowned for the friendliness of its staffroom and the potential of its pupils, where teachers and pupils share the learning experience and </w:t>
      </w:r>
      <w:r>
        <w:rPr>
          <w:rFonts w:ascii="Arial" w:hAnsi="Arial" w:cs="Arial"/>
          <w:bCs/>
          <w:sz w:val="22"/>
        </w:rPr>
        <w:t>strive together for</w:t>
      </w:r>
      <w:r w:rsidRPr="00CF7889">
        <w:rPr>
          <w:rFonts w:ascii="Arial" w:hAnsi="Arial" w:cs="Arial"/>
          <w:bCs/>
          <w:sz w:val="22"/>
        </w:rPr>
        <w:t xml:space="preserve"> </w:t>
      </w:r>
      <w:r>
        <w:rPr>
          <w:rFonts w:ascii="Arial" w:hAnsi="Arial" w:cs="Arial"/>
          <w:bCs/>
          <w:sz w:val="22"/>
        </w:rPr>
        <w:t xml:space="preserve">outstanding </w:t>
      </w:r>
      <w:r w:rsidRPr="00CF7889">
        <w:rPr>
          <w:rFonts w:ascii="Arial" w:hAnsi="Arial" w:cs="Arial"/>
          <w:bCs/>
          <w:sz w:val="22"/>
        </w:rPr>
        <w:t>progress.</w:t>
      </w:r>
    </w:p>
    <w:p w:rsidR="00570BCB" w:rsidRPr="00CF7889" w:rsidRDefault="00570BCB" w:rsidP="00570BCB">
      <w:pPr>
        <w:jc w:val="both"/>
        <w:rPr>
          <w:rFonts w:ascii="Arial" w:hAnsi="Arial" w:cs="Arial"/>
          <w:bCs/>
          <w:sz w:val="22"/>
        </w:rPr>
      </w:pPr>
    </w:p>
    <w:p w:rsidR="00570BCB" w:rsidRPr="00B62CC9" w:rsidRDefault="00B62CC9" w:rsidP="00570BCB">
      <w:pPr>
        <w:jc w:val="both"/>
        <w:rPr>
          <w:rFonts w:ascii="Arial" w:hAnsi="Arial" w:cs="Arial"/>
          <w:b/>
          <w:bCs/>
          <w:sz w:val="22"/>
        </w:rPr>
      </w:pPr>
      <w:r w:rsidRPr="00B62CC9">
        <w:rPr>
          <w:rFonts w:ascii="Arial" w:hAnsi="Arial" w:cs="Arial"/>
          <w:b/>
          <w:bCs/>
          <w:sz w:val="22"/>
        </w:rPr>
        <w:t>A J Baker</w:t>
      </w:r>
    </w:p>
    <w:p w:rsidR="00B62CC9" w:rsidRPr="00B62CC9" w:rsidRDefault="00B62CC9" w:rsidP="00570BCB">
      <w:pPr>
        <w:jc w:val="both"/>
        <w:rPr>
          <w:rFonts w:ascii="Arial" w:hAnsi="Arial" w:cs="Arial"/>
          <w:b/>
          <w:bCs/>
          <w:sz w:val="22"/>
        </w:rPr>
      </w:pPr>
      <w:r w:rsidRPr="00B62CC9">
        <w:rPr>
          <w:rFonts w:ascii="Arial" w:hAnsi="Arial" w:cs="Arial"/>
          <w:b/>
          <w:bCs/>
          <w:sz w:val="22"/>
        </w:rPr>
        <w:t>Head Teacher</w:t>
      </w:r>
    </w:p>
    <w:p w:rsidR="00B62CC9" w:rsidRPr="00B62CC9" w:rsidRDefault="00B62CC9" w:rsidP="00570BCB">
      <w:pPr>
        <w:jc w:val="both"/>
        <w:rPr>
          <w:rFonts w:ascii="Arial" w:hAnsi="Arial" w:cs="Arial"/>
          <w:b/>
          <w:bCs/>
          <w:sz w:val="22"/>
        </w:rPr>
      </w:pPr>
      <w:r w:rsidRPr="00B62CC9">
        <w:rPr>
          <w:rFonts w:ascii="Arial" w:hAnsi="Arial" w:cs="Arial"/>
          <w:b/>
          <w:bCs/>
          <w:sz w:val="22"/>
        </w:rPr>
        <w:t>February 2019</w:t>
      </w:r>
    </w:p>
    <w:p w:rsidR="00570BCB" w:rsidRDefault="00570BCB" w:rsidP="00570BCB">
      <w:pPr>
        <w:jc w:val="both"/>
        <w:rPr>
          <w:rFonts w:ascii="Arial" w:hAnsi="Arial" w:cs="Arial"/>
          <w:b/>
          <w:bCs/>
          <w:kern w:val="36"/>
          <w:sz w:val="23"/>
          <w:szCs w:val="23"/>
          <w:lang w:eastAsia="en-GB"/>
        </w:rPr>
      </w:pPr>
    </w:p>
    <w:p w:rsidR="00570BCB" w:rsidRDefault="00570BCB"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EF05BD" w:rsidRDefault="00EF05BD" w:rsidP="00570BCB">
      <w:pPr>
        <w:jc w:val="both"/>
        <w:rPr>
          <w:rFonts w:ascii="Arial" w:hAnsi="Arial" w:cs="Arial"/>
          <w:b/>
          <w:bCs/>
          <w:kern w:val="36"/>
          <w:sz w:val="23"/>
          <w:szCs w:val="23"/>
          <w:lang w:eastAsia="en-GB"/>
        </w:rPr>
      </w:pPr>
    </w:p>
    <w:p w:rsidR="00EF05BD" w:rsidRDefault="00EF05BD" w:rsidP="00570BCB">
      <w:pPr>
        <w:jc w:val="both"/>
        <w:rPr>
          <w:rFonts w:ascii="Arial" w:hAnsi="Arial" w:cs="Arial"/>
          <w:b/>
          <w:bCs/>
          <w:kern w:val="36"/>
          <w:sz w:val="23"/>
          <w:szCs w:val="23"/>
          <w:lang w:eastAsia="en-GB"/>
        </w:rPr>
      </w:pPr>
    </w:p>
    <w:p w:rsidR="00EF05BD" w:rsidRDefault="00EF05BD"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605422" w:rsidRDefault="00605422" w:rsidP="00570BCB">
      <w:pPr>
        <w:jc w:val="both"/>
        <w:rPr>
          <w:rFonts w:ascii="Arial" w:hAnsi="Arial" w:cs="Arial"/>
          <w:b/>
          <w:bCs/>
          <w:kern w:val="36"/>
          <w:sz w:val="23"/>
          <w:szCs w:val="23"/>
          <w:lang w:eastAsia="en-GB"/>
        </w:rPr>
      </w:pPr>
    </w:p>
    <w:p w:rsidR="00570BCB" w:rsidRDefault="00570BCB" w:rsidP="00570BCB">
      <w:pPr>
        <w:jc w:val="both"/>
        <w:rPr>
          <w:rFonts w:ascii="Arial" w:hAnsi="Arial" w:cs="Arial"/>
          <w:b/>
          <w:bCs/>
          <w:kern w:val="36"/>
          <w:sz w:val="23"/>
          <w:szCs w:val="23"/>
          <w:lang w:eastAsia="en-GB"/>
        </w:rPr>
      </w:pPr>
      <w:r>
        <w:rPr>
          <w:rFonts w:ascii="Arial" w:hAnsi="Arial" w:cs="Arial"/>
          <w:b/>
          <w:bCs/>
          <w:kern w:val="36"/>
          <w:sz w:val="23"/>
          <w:szCs w:val="23"/>
          <w:lang w:eastAsia="en-GB"/>
        </w:rPr>
        <w:lastRenderedPageBreak/>
        <w:t>Appendix</w:t>
      </w:r>
    </w:p>
    <w:p w:rsidR="00570BCB" w:rsidRDefault="00570BCB" w:rsidP="00570BCB">
      <w:pPr>
        <w:jc w:val="both"/>
        <w:rPr>
          <w:rFonts w:ascii="Arial" w:hAnsi="Arial" w:cs="Arial"/>
          <w:b/>
          <w:bCs/>
          <w:kern w:val="36"/>
          <w:sz w:val="23"/>
          <w:szCs w:val="23"/>
          <w:lang w:eastAsia="en-GB"/>
        </w:rPr>
      </w:pPr>
    </w:p>
    <w:p w:rsidR="00570BCB" w:rsidRDefault="00570BCB" w:rsidP="00570BCB">
      <w:pPr>
        <w:jc w:val="both"/>
        <w:rPr>
          <w:rFonts w:ascii="Arial" w:hAnsi="Arial" w:cs="Arial"/>
          <w:b/>
          <w:bCs/>
          <w:kern w:val="36"/>
          <w:sz w:val="23"/>
          <w:szCs w:val="23"/>
          <w:lang w:eastAsia="en-GB"/>
        </w:rPr>
      </w:pPr>
      <w:r>
        <w:rPr>
          <w:rFonts w:ascii="Arial" w:hAnsi="Arial" w:cs="Arial"/>
          <w:b/>
          <w:bCs/>
          <w:kern w:val="36"/>
          <w:sz w:val="23"/>
          <w:szCs w:val="23"/>
          <w:lang w:eastAsia="en-GB"/>
        </w:rPr>
        <w:t>AS and A- level results from 201</w:t>
      </w:r>
      <w:r w:rsidR="0038424E">
        <w:rPr>
          <w:rFonts w:ascii="Arial" w:hAnsi="Arial" w:cs="Arial"/>
          <w:b/>
          <w:bCs/>
          <w:kern w:val="36"/>
          <w:sz w:val="23"/>
          <w:szCs w:val="23"/>
          <w:lang w:eastAsia="en-GB"/>
        </w:rPr>
        <w:t>7</w:t>
      </w:r>
    </w:p>
    <w:p w:rsidR="0038424E" w:rsidRDefault="0038424E" w:rsidP="00570BCB">
      <w:pPr>
        <w:jc w:val="both"/>
        <w:rPr>
          <w:rFonts w:ascii="Arial" w:hAnsi="Arial" w:cs="Arial"/>
          <w:b/>
          <w:bCs/>
          <w:kern w:val="36"/>
          <w:sz w:val="23"/>
          <w:szCs w:val="23"/>
          <w:lang w:eastAsia="en-GB"/>
        </w:rPr>
      </w:pPr>
    </w:p>
    <w:tbl>
      <w:tblPr>
        <w:tblW w:w="7125" w:type="dxa"/>
        <w:tblLook w:val="04A0" w:firstRow="1" w:lastRow="0" w:firstColumn="1" w:lastColumn="0" w:noHBand="0" w:noVBand="1"/>
      </w:tblPr>
      <w:tblGrid>
        <w:gridCol w:w="2320"/>
        <w:gridCol w:w="483"/>
        <w:gridCol w:w="483"/>
        <w:gridCol w:w="483"/>
        <w:gridCol w:w="483"/>
        <w:gridCol w:w="390"/>
        <w:gridCol w:w="377"/>
        <w:gridCol w:w="390"/>
        <w:gridCol w:w="760"/>
        <w:gridCol w:w="498"/>
        <w:gridCol w:w="720"/>
      </w:tblGrid>
      <w:tr w:rsidR="0038424E" w:rsidRPr="00532CCA" w:rsidTr="00C15D00">
        <w:trPr>
          <w:trHeight w:val="390"/>
        </w:trPr>
        <w:tc>
          <w:tcPr>
            <w:tcW w:w="2320" w:type="dxa"/>
            <w:tcBorders>
              <w:top w:val="nil"/>
              <w:left w:val="nil"/>
              <w:bottom w:val="nil"/>
              <w:right w:val="nil"/>
            </w:tcBorders>
            <w:shd w:val="clear" w:color="auto" w:fill="auto"/>
            <w:noWrap/>
            <w:vAlign w:val="center"/>
            <w:hideMark/>
          </w:tcPr>
          <w:p w:rsidR="0038424E" w:rsidRPr="00532CCA" w:rsidRDefault="0038424E" w:rsidP="00C15D00">
            <w:pPr>
              <w:rPr>
                <w:sz w:val="20"/>
                <w:szCs w:val="20"/>
                <w:lang w:eastAsia="en-GB"/>
              </w:rPr>
            </w:pPr>
          </w:p>
        </w:tc>
        <w:tc>
          <w:tcPr>
            <w:tcW w:w="470" w:type="dxa"/>
            <w:tcBorders>
              <w:top w:val="nil"/>
              <w:left w:val="nil"/>
              <w:bottom w:val="nil"/>
              <w:right w:val="nil"/>
            </w:tcBorders>
            <w:shd w:val="clear" w:color="auto" w:fill="auto"/>
            <w:noWrap/>
            <w:vAlign w:val="center"/>
            <w:hideMark/>
          </w:tcPr>
          <w:p w:rsidR="0038424E" w:rsidRPr="00532CCA" w:rsidRDefault="0038424E" w:rsidP="00C15D00">
            <w:pP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9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77"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9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No. of Subject Entries</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Pas</w:t>
            </w:r>
            <w:r w:rsidR="00DC7338">
              <w:rPr>
                <w:rFonts w:ascii="Arial" w:hAnsi="Arial" w:cs="Arial"/>
                <w:color w:val="000000"/>
                <w:lang w:eastAsia="en-GB"/>
              </w:rPr>
              <w:t>s</w:t>
            </w:r>
            <w:r w:rsidRPr="00532CCA">
              <w:rPr>
                <w:rFonts w:ascii="Arial" w:hAnsi="Arial" w:cs="Arial"/>
                <w:color w:val="000000"/>
                <w:lang w:eastAsia="en-GB"/>
              </w:rPr>
              <w:t>es A-E</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          A* - B</w:t>
            </w:r>
          </w:p>
        </w:tc>
      </w:tr>
      <w:tr w:rsidR="0038424E" w:rsidRPr="00532CCA" w:rsidTr="00C15D00">
        <w:trPr>
          <w:trHeight w:val="390"/>
        </w:trPr>
        <w:tc>
          <w:tcPr>
            <w:tcW w:w="2320" w:type="dxa"/>
            <w:tcBorders>
              <w:top w:val="nil"/>
              <w:left w:val="nil"/>
              <w:bottom w:val="nil"/>
              <w:right w:val="nil"/>
            </w:tcBorders>
            <w:shd w:val="clear" w:color="auto" w:fill="auto"/>
            <w:noWrap/>
            <w:vAlign w:val="center"/>
            <w:hideMark/>
          </w:tcPr>
          <w:p w:rsidR="0038424E" w:rsidRPr="00532CCA" w:rsidRDefault="0038424E" w:rsidP="00C15D00">
            <w:pPr>
              <w:jc w:val="center"/>
              <w:rPr>
                <w:rFonts w:ascii="Arial" w:hAnsi="Arial" w:cs="Arial"/>
                <w:color w:val="000000"/>
                <w:lang w:eastAsia="en-GB"/>
              </w:rPr>
            </w:pPr>
          </w:p>
        </w:tc>
        <w:tc>
          <w:tcPr>
            <w:tcW w:w="470" w:type="dxa"/>
            <w:tcBorders>
              <w:top w:val="nil"/>
              <w:left w:val="nil"/>
              <w:bottom w:val="nil"/>
              <w:right w:val="nil"/>
            </w:tcBorders>
            <w:shd w:val="clear" w:color="auto" w:fill="auto"/>
            <w:noWrap/>
            <w:vAlign w:val="center"/>
            <w:hideMark/>
          </w:tcPr>
          <w:p w:rsidR="0038424E" w:rsidRPr="00532CCA" w:rsidRDefault="0038424E" w:rsidP="00C15D00">
            <w:pP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9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77"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9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r>
      <w:tr w:rsidR="0038424E" w:rsidRPr="00532CCA" w:rsidTr="00C15D00">
        <w:trPr>
          <w:trHeight w:val="390"/>
        </w:trPr>
        <w:tc>
          <w:tcPr>
            <w:tcW w:w="232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470" w:type="dxa"/>
            <w:tcBorders>
              <w:top w:val="nil"/>
              <w:left w:val="nil"/>
              <w:bottom w:val="nil"/>
              <w:right w:val="nil"/>
            </w:tcBorders>
            <w:shd w:val="clear" w:color="auto" w:fill="auto"/>
            <w:noWrap/>
            <w:vAlign w:val="center"/>
            <w:hideMark/>
          </w:tcPr>
          <w:p w:rsidR="0038424E" w:rsidRPr="00532CCA" w:rsidRDefault="0038424E" w:rsidP="00C15D00">
            <w:pP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40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9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77"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390" w:type="dxa"/>
            <w:tcBorders>
              <w:top w:val="nil"/>
              <w:left w:val="nil"/>
              <w:bottom w:val="nil"/>
              <w:right w:val="nil"/>
            </w:tcBorders>
            <w:shd w:val="clear" w:color="auto" w:fill="auto"/>
            <w:noWrap/>
            <w:vAlign w:val="center"/>
            <w:hideMark/>
          </w:tcPr>
          <w:p w:rsidR="0038424E" w:rsidRPr="00532CCA" w:rsidRDefault="0038424E" w:rsidP="00C15D00">
            <w:pPr>
              <w:jc w:val="center"/>
              <w:rPr>
                <w:sz w:val="20"/>
                <w:szCs w:val="20"/>
                <w:lang w:eastAsia="en-GB"/>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r>
      <w:tr w:rsidR="0038424E" w:rsidRPr="00532CCA" w:rsidTr="00C15D00">
        <w:trPr>
          <w:trHeight w:val="390"/>
        </w:trPr>
        <w:tc>
          <w:tcPr>
            <w:tcW w:w="2320" w:type="dxa"/>
            <w:tcBorders>
              <w:top w:val="nil"/>
              <w:left w:val="nil"/>
              <w:bottom w:val="nil"/>
              <w:right w:val="nil"/>
            </w:tcBorders>
            <w:shd w:val="clear" w:color="auto" w:fill="auto"/>
            <w:noWrap/>
            <w:vAlign w:val="center"/>
            <w:hideMark/>
          </w:tcPr>
          <w:p w:rsidR="0038424E" w:rsidRPr="00532CCA" w:rsidRDefault="0038424E" w:rsidP="00C15D00">
            <w:pPr>
              <w:jc w:val="center"/>
              <w:rPr>
                <w:sz w:val="32"/>
                <w:szCs w:val="32"/>
                <w:lang w:eastAsia="en-GB"/>
              </w:rPr>
            </w:pPr>
            <w:r w:rsidRPr="002A0487">
              <w:rPr>
                <w:sz w:val="32"/>
                <w:szCs w:val="32"/>
                <w:lang w:eastAsia="en-GB"/>
              </w:rPr>
              <w:t>2018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A*</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A</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B</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C</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D</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E</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U</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8424E" w:rsidRPr="00532CCA" w:rsidRDefault="0038424E" w:rsidP="00C15D00">
            <w:pPr>
              <w:rPr>
                <w:rFonts w:ascii="Arial" w:hAnsi="Arial" w:cs="Arial"/>
                <w:color w:val="000000"/>
                <w:lang w:eastAsia="en-GB"/>
              </w:rPr>
            </w:pPr>
          </w:p>
        </w:tc>
      </w:tr>
      <w:tr w:rsidR="0038424E" w:rsidRPr="00532CCA" w:rsidTr="00C15D00">
        <w:trPr>
          <w:trHeight w:val="39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24E" w:rsidRPr="00532CCA" w:rsidRDefault="0038424E" w:rsidP="00C15D00">
            <w:pPr>
              <w:rPr>
                <w:rFonts w:ascii="Arial" w:hAnsi="Arial" w:cs="Arial"/>
                <w:color w:val="000000"/>
                <w:lang w:eastAsia="en-GB"/>
              </w:rPr>
            </w:pPr>
            <w:r w:rsidRPr="00532CCA">
              <w:rPr>
                <w:rFonts w:ascii="Arial" w:hAnsi="Arial" w:cs="Arial"/>
                <w:color w:val="000000"/>
                <w:lang w:eastAsia="en-GB"/>
              </w:rPr>
              <w:t>Mathematics Further</w:t>
            </w:r>
            <w:r>
              <w:rPr>
                <w:rFonts w:ascii="Arial" w:hAnsi="Arial" w:cs="Arial"/>
                <w:color w:val="000000"/>
                <w:lang w:eastAsia="en-GB"/>
              </w:rPr>
              <w:t xml:space="preserve"> </w:t>
            </w:r>
          </w:p>
        </w:tc>
        <w:tc>
          <w:tcPr>
            <w:tcW w:w="47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6</w:t>
            </w:r>
          </w:p>
        </w:tc>
        <w:tc>
          <w:tcPr>
            <w:tcW w:w="40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2</w:t>
            </w:r>
          </w:p>
        </w:tc>
        <w:tc>
          <w:tcPr>
            <w:tcW w:w="40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2</w:t>
            </w:r>
          </w:p>
        </w:tc>
        <w:tc>
          <w:tcPr>
            <w:tcW w:w="40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0</w:t>
            </w:r>
          </w:p>
        </w:tc>
        <w:tc>
          <w:tcPr>
            <w:tcW w:w="39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0</w:t>
            </w:r>
          </w:p>
        </w:tc>
        <w:tc>
          <w:tcPr>
            <w:tcW w:w="377"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0</w:t>
            </w:r>
          </w:p>
        </w:tc>
        <w:tc>
          <w:tcPr>
            <w:tcW w:w="39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0</w:t>
            </w:r>
          </w:p>
        </w:tc>
        <w:tc>
          <w:tcPr>
            <w:tcW w:w="76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10</w:t>
            </w:r>
          </w:p>
        </w:tc>
        <w:tc>
          <w:tcPr>
            <w:tcW w:w="498"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rPr>
                <w:rFonts w:ascii="Arial" w:hAnsi="Arial" w:cs="Arial"/>
                <w:color w:val="000000"/>
                <w:lang w:eastAsia="en-GB"/>
              </w:rPr>
            </w:pPr>
            <w:r w:rsidRPr="00532CCA">
              <w:rPr>
                <w:rFonts w:ascii="Arial" w:hAnsi="Arial" w:cs="Arial"/>
                <w:color w:val="000000"/>
                <w:lang w:eastAsia="en-GB"/>
              </w:rPr>
              <w:t>10</w:t>
            </w:r>
          </w:p>
        </w:tc>
        <w:tc>
          <w:tcPr>
            <w:tcW w:w="720" w:type="dxa"/>
            <w:tcBorders>
              <w:top w:val="nil"/>
              <w:left w:val="nil"/>
              <w:bottom w:val="single" w:sz="4" w:space="0" w:color="auto"/>
              <w:right w:val="single" w:sz="4" w:space="0" w:color="auto"/>
            </w:tcBorders>
            <w:shd w:val="clear" w:color="auto" w:fill="auto"/>
            <w:noWrap/>
            <w:vAlign w:val="center"/>
            <w:hideMark/>
          </w:tcPr>
          <w:p w:rsidR="0038424E" w:rsidRPr="00532CCA" w:rsidRDefault="0038424E" w:rsidP="00C15D00">
            <w:pPr>
              <w:rPr>
                <w:rFonts w:ascii="Arial" w:hAnsi="Arial" w:cs="Arial"/>
                <w:color w:val="000000"/>
                <w:lang w:eastAsia="en-GB"/>
              </w:rPr>
            </w:pPr>
            <w:r>
              <w:rPr>
                <w:rFonts w:ascii="Arial" w:hAnsi="Arial" w:cs="Arial"/>
                <w:color w:val="000000"/>
                <w:lang w:eastAsia="en-GB"/>
              </w:rPr>
              <w:t>100</w:t>
            </w:r>
          </w:p>
        </w:tc>
      </w:tr>
      <w:tr w:rsidR="0038424E" w:rsidRPr="00532CCA" w:rsidTr="00C15D00">
        <w:trPr>
          <w:trHeight w:val="39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sidRPr="00532CCA">
              <w:rPr>
                <w:rFonts w:ascii="Arial" w:hAnsi="Arial" w:cs="Arial"/>
                <w:color w:val="000000"/>
                <w:lang w:eastAsia="en-GB"/>
              </w:rPr>
              <w:t>Mathematics</w:t>
            </w:r>
            <w:r>
              <w:rPr>
                <w:rFonts w:ascii="Arial" w:hAnsi="Arial" w:cs="Arial"/>
                <w:color w:val="000000"/>
                <w:lang w:eastAsia="en-GB"/>
              </w:rPr>
              <w:t xml:space="preserve"> </w:t>
            </w:r>
          </w:p>
        </w:tc>
        <w:tc>
          <w:tcPr>
            <w:tcW w:w="47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23</w:t>
            </w: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27</w:t>
            </w: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19</w:t>
            </w: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11</w:t>
            </w: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9</w:t>
            </w:r>
          </w:p>
        </w:tc>
        <w:tc>
          <w:tcPr>
            <w:tcW w:w="377"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4</w:t>
            </w: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1</w:t>
            </w:r>
          </w:p>
        </w:tc>
        <w:tc>
          <w:tcPr>
            <w:tcW w:w="76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sidRPr="00532CCA">
              <w:rPr>
                <w:rFonts w:ascii="Arial" w:hAnsi="Arial" w:cs="Arial"/>
                <w:color w:val="000000"/>
                <w:lang w:eastAsia="en-GB"/>
              </w:rPr>
              <w:t>94</w:t>
            </w:r>
          </w:p>
        </w:tc>
        <w:tc>
          <w:tcPr>
            <w:tcW w:w="498"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sidRPr="00532CCA">
              <w:rPr>
                <w:rFonts w:ascii="Arial" w:hAnsi="Arial" w:cs="Arial"/>
                <w:color w:val="000000"/>
                <w:lang w:eastAsia="en-GB"/>
              </w:rPr>
              <w:t>93</w:t>
            </w:r>
          </w:p>
        </w:tc>
        <w:tc>
          <w:tcPr>
            <w:tcW w:w="72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sidRPr="00532CCA">
              <w:rPr>
                <w:rFonts w:ascii="Arial" w:hAnsi="Arial" w:cs="Arial"/>
                <w:color w:val="000000"/>
                <w:lang w:eastAsia="en-GB"/>
              </w:rPr>
              <w:t>73.4</w:t>
            </w:r>
          </w:p>
        </w:tc>
      </w:tr>
      <w:tr w:rsidR="0038424E" w:rsidRPr="00532CCA" w:rsidTr="00C15D00">
        <w:trPr>
          <w:trHeight w:val="39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Pr>
                <w:rFonts w:ascii="Arial" w:hAnsi="Arial" w:cs="Arial"/>
                <w:color w:val="000000"/>
                <w:lang w:eastAsia="en-GB"/>
              </w:rPr>
              <w:t xml:space="preserve">            2017</w:t>
            </w:r>
          </w:p>
        </w:tc>
        <w:tc>
          <w:tcPr>
            <w:tcW w:w="47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76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98"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p>
        </w:tc>
        <w:tc>
          <w:tcPr>
            <w:tcW w:w="72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p>
        </w:tc>
      </w:tr>
      <w:tr w:rsidR="0038424E" w:rsidRPr="00532CCA" w:rsidTr="00C15D00">
        <w:trPr>
          <w:trHeight w:val="39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Pr>
                <w:rFonts w:ascii="Arial" w:hAnsi="Arial" w:cs="Arial"/>
                <w:color w:val="000000"/>
                <w:lang w:eastAsia="en-GB"/>
              </w:rPr>
              <w:t>Mathematics Further</w:t>
            </w:r>
          </w:p>
        </w:tc>
        <w:tc>
          <w:tcPr>
            <w:tcW w:w="47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4</w:t>
            </w: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1</w:t>
            </w: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3</w:t>
            </w: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76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98"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Pr>
                <w:rFonts w:ascii="Arial" w:hAnsi="Arial" w:cs="Arial"/>
                <w:color w:val="000000"/>
                <w:lang w:eastAsia="en-GB"/>
              </w:rPr>
              <w:t>8</w:t>
            </w:r>
          </w:p>
        </w:tc>
        <w:tc>
          <w:tcPr>
            <w:tcW w:w="72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Pr>
                <w:rFonts w:ascii="Arial" w:hAnsi="Arial" w:cs="Arial"/>
                <w:color w:val="000000"/>
                <w:lang w:eastAsia="en-GB"/>
              </w:rPr>
              <w:t>100</w:t>
            </w:r>
          </w:p>
        </w:tc>
      </w:tr>
      <w:tr w:rsidR="0038424E" w:rsidRPr="00532CCA" w:rsidTr="00C15D00">
        <w:trPr>
          <w:trHeight w:val="390"/>
        </w:trPr>
        <w:tc>
          <w:tcPr>
            <w:tcW w:w="2320" w:type="dxa"/>
            <w:tcBorders>
              <w:top w:val="nil"/>
              <w:left w:val="single" w:sz="4" w:space="0" w:color="auto"/>
              <w:bottom w:val="nil"/>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Pr>
                <w:rFonts w:ascii="Arial" w:hAnsi="Arial" w:cs="Arial"/>
                <w:color w:val="000000"/>
                <w:lang w:eastAsia="en-GB"/>
              </w:rPr>
              <w:t>Mathematics</w:t>
            </w:r>
          </w:p>
        </w:tc>
        <w:tc>
          <w:tcPr>
            <w:tcW w:w="470"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12</w:t>
            </w:r>
          </w:p>
        </w:tc>
        <w:tc>
          <w:tcPr>
            <w:tcW w:w="400"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14</w:t>
            </w:r>
          </w:p>
        </w:tc>
        <w:tc>
          <w:tcPr>
            <w:tcW w:w="400"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17</w:t>
            </w:r>
          </w:p>
        </w:tc>
        <w:tc>
          <w:tcPr>
            <w:tcW w:w="400"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8</w:t>
            </w:r>
          </w:p>
        </w:tc>
        <w:tc>
          <w:tcPr>
            <w:tcW w:w="390"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4</w:t>
            </w:r>
          </w:p>
        </w:tc>
        <w:tc>
          <w:tcPr>
            <w:tcW w:w="377"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6</w:t>
            </w:r>
          </w:p>
        </w:tc>
        <w:tc>
          <w:tcPr>
            <w:tcW w:w="390"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3</w:t>
            </w:r>
          </w:p>
        </w:tc>
        <w:tc>
          <w:tcPr>
            <w:tcW w:w="760" w:type="dxa"/>
            <w:tcBorders>
              <w:top w:val="nil"/>
              <w:left w:val="nil"/>
              <w:bottom w:val="nil"/>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r>
              <w:rPr>
                <w:rFonts w:ascii="Arial" w:hAnsi="Arial" w:cs="Arial"/>
                <w:color w:val="000000"/>
                <w:lang w:eastAsia="en-GB"/>
              </w:rPr>
              <w:t>64</w:t>
            </w:r>
          </w:p>
        </w:tc>
        <w:tc>
          <w:tcPr>
            <w:tcW w:w="498" w:type="dxa"/>
            <w:tcBorders>
              <w:top w:val="nil"/>
              <w:left w:val="nil"/>
              <w:bottom w:val="nil"/>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Pr>
                <w:rFonts w:ascii="Arial" w:hAnsi="Arial" w:cs="Arial"/>
                <w:color w:val="000000"/>
                <w:lang w:eastAsia="en-GB"/>
              </w:rPr>
              <w:t>61</w:t>
            </w:r>
          </w:p>
        </w:tc>
        <w:tc>
          <w:tcPr>
            <w:tcW w:w="720" w:type="dxa"/>
            <w:tcBorders>
              <w:top w:val="nil"/>
              <w:left w:val="nil"/>
              <w:bottom w:val="nil"/>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r>
              <w:rPr>
                <w:rFonts w:ascii="Arial" w:hAnsi="Arial" w:cs="Arial"/>
                <w:color w:val="000000"/>
                <w:lang w:eastAsia="en-GB"/>
              </w:rPr>
              <w:t>67</w:t>
            </w:r>
          </w:p>
        </w:tc>
      </w:tr>
      <w:tr w:rsidR="0038424E" w:rsidRPr="00532CCA" w:rsidTr="00C15D00">
        <w:trPr>
          <w:trHeight w:val="8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p>
        </w:tc>
        <w:tc>
          <w:tcPr>
            <w:tcW w:w="47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0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39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76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jc w:val="center"/>
              <w:rPr>
                <w:rFonts w:ascii="Arial" w:hAnsi="Arial" w:cs="Arial"/>
                <w:color w:val="000000"/>
                <w:lang w:eastAsia="en-GB"/>
              </w:rPr>
            </w:pPr>
          </w:p>
        </w:tc>
        <w:tc>
          <w:tcPr>
            <w:tcW w:w="498"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p>
        </w:tc>
        <w:tc>
          <w:tcPr>
            <w:tcW w:w="720" w:type="dxa"/>
            <w:tcBorders>
              <w:top w:val="nil"/>
              <w:left w:val="nil"/>
              <w:bottom w:val="single" w:sz="4" w:space="0" w:color="auto"/>
              <w:right w:val="single" w:sz="4" w:space="0" w:color="auto"/>
            </w:tcBorders>
            <w:shd w:val="clear" w:color="auto" w:fill="auto"/>
            <w:noWrap/>
            <w:vAlign w:val="center"/>
          </w:tcPr>
          <w:p w:rsidR="0038424E" w:rsidRPr="00532CCA" w:rsidRDefault="0038424E" w:rsidP="00C15D00">
            <w:pPr>
              <w:rPr>
                <w:rFonts w:ascii="Arial" w:hAnsi="Arial" w:cs="Arial"/>
                <w:color w:val="000000"/>
                <w:lang w:eastAsia="en-GB"/>
              </w:rPr>
            </w:pPr>
          </w:p>
        </w:tc>
      </w:tr>
    </w:tbl>
    <w:p w:rsidR="00570BCB" w:rsidRDefault="00570BCB" w:rsidP="00570BCB">
      <w:pPr>
        <w:jc w:val="both"/>
        <w:rPr>
          <w:rFonts w:ascii="Arial" w:hAnsi="Arial" w:cs="Arial"/>
          <w:b/>
          <w:bCs/>
          <w:kern w:val="36"/>
          <w:sz w:val="23"/>
          <w:szCs w:val="23"/>
          <w:lang w:eastAsia="en-GB"/>
        </w:rPr>
      </w:pPr>
    </w:p>
    <w:p w:rsidR="00570BCB" w:rsidRDefault="00570BCB" w:rsidP="00570BCB">
      <w:pPr>
        <w:jc w:val="both"/>
        <w:rPr>
          <w:rFonts w:ascii="Arial" w:hAnsi="Arial" w:cs="Arial"/>
          <w:b/>
          <w:bCs/>
          <w:kern w:val="36"/>
          <w:sz w:val="23"/>
          <w:szCs w:val="23"/>
          <w:lang w:eastAsia="en-GB"/>
        </w:rPr>
      </w:pPr>
    </w:p>
    <w:p w:rsidR="00570BCB" w:rsidRDefault="00570BCB" w:rsidP="00570BCB">
      <w:pPr>
        <w:jc w:val="both"/>
        <w:rPr>
          <w:rFonts w:ascii="Arial" w:hAnsi="Arial" w:cs="Arial"/>
          <w:b/>
          <w:bCs/>
          <w:kern w:val="36"/>
          <w:sz w:val="23"/>
          <w:szCs w:val="23"/>
          <w:lang w:eastAsia="en-GB"/>
        </w:rPr>
      </w:pPr>
      <w:r>
        <w:rPr>
          <w:rFonts w:ascii="Arial" w:hAnsi="Arial" w:cs="Arial"/>
          <w:b/>
          <w:bCs/>
          <w:kern w:val="36"/>
          <w:sz w:val="23"/>
          <w:szCs w:val="23"/>
          <w:lang w:eastAsia="en-GB"/>
        </w:rPr>
        <w:t>GCSE results from 201</w:t>
      </w:r>
      <w:r w:rsidR="0038424E">
        <w:rPr>
          <w:rFonts w:ascii="Arial" w:hAnsi="Arial" w:cs="Arial"/>
          <w:b/>
          <w:bCs/>
          <w:kern w:val="36"/>
          <w:sz w:val="23"/>
          <w:szCs w:val="23"/>
          <w:lang w:eastAsia="en-GB"/>
        </w:rPr>
        <w:t>7</w:t>
      </w:r>
    </w:p>
    <w:p w:rsidR="0038424E" w:rsidRDefault="0038424E" w:rsidP="00570BCB">
      <w:pPr>
        <w:jc w:val="both"/>
        <w:rPr>
          <w:rFonts w:ascii="Arial" w:hAnsi="Arial" w:cs="Arial"/>
          <w:b/>
          <w:bCs/>
          <w:kern w:val="36"/>
          <w:sz w:val="23"/>
          <w:szCs w:val="23"/>
          <w:lang w:eastAsia="en-GB"/>
        </w:rPr>
      </w:pPr>
    </w:p>
    <w:p w:rsidR="0038424E" w:rsidRPr="00CE2CB4" w:rsidRDefault="0038424E" w:rsidP="0038424E">
      <w:pPr>
        <w:rPr>
          <w:rFonts w:ascii="Century Gothic" w:hAnsi="Century Gothic" w:cs="Arial"/>
          <w:color w:val="000000" w:themeColor="text1"/>
          <w:sz w:val="22"/>
          <w:szCs w:val="22"/>
        </w:rPr>
      </w:pPr>
      <w:r w:rsidRPr="00CE2CB4">
        <w:rPr>
          <w:rFonts w:ascii="Century Gothic" w:hAnsi="Century Gothic" w:cs="Arial"/>
          <w:color w:val="000000" w:themeColor="text1"/>
          <w:sz w:val="22"/>
          <w:szCs w:val="22"/>
        </w:rPr>
        <w:t>Attainment:</w:t>
      </w:r>
    </w:p>
    <w:tbl>
      <w:tblPr>
        <w:tblStyle w:val="TableGrid"/>
        <w:tblW w:w="0" w:type="auto"/>
        <w:tblLook w:val="04A0" w:firstRow="1" w:lastRow="0" w:firstColumn="1" w:lastColumn="0" w:noHBand="0" w:noVBand="1"/>
      </w:tblPr>
      <w:tblGrid>
        <w:gridCol w:w="919"/>
        <w:gridCol w:w="871"/>
        <w:gridCol w:w="871"/>
        <w:gridCol w:w="871"/>
        <w:gridCol w:w="871"/>
        <w:gridCol w:w="871"/>
        <w:gridCol w:w="872"/>
        <w:gridCol w:w="872"/>
      </w:tblGrid>
      <w:tr w:rsidR="0038424E" w:rsidTr="00C15D00">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Grade</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9</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8</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7</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6</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5</w:t>
            </w:r>
          </w:p>
        </w:tc>
        <w:tc>
          <w:tcPr>
            <w:tcW w:w="872"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4</w:t>
            </w:r>
          </w:p>
        </w:tc>
        <w:tc>
          <w:tcPr>
            <w:tcW w:w="872"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3</w:t>
            </w:r>
          </w:p>
        </w:tc>
      </w:tr>
      <w:tr w:rsidR="0038424E" w:rsidTr="00C15D00">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2018</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38</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45</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29</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37</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22</w:t>
            </w:r>
          </w:p>
        </w:tc>
        <w:tc>
          <w:tcPr>
            <w:tcW w:w="872"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7</w:t>
            </w:r>
          </w:p>
        </w:tc>
        <w:tc>
          <w:tcPr>
            <w:tcW w:w="872"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1</w:t>
            </w:r>
          </w:p>
        </w:tc>
      </w:tr>
      <w:tr w:rsidR="0038424E" w:rsidTr="00C15D00">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2017</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41</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31</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47</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41</w:t>
            </w:r>
          </w:p>
        </w:tc>
        <w:tc>
          <w:tcPr>
            <w:tcW w:w="871"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13</w:t>
            </w:r>
          </w:p>
        </w:tc>
        <w:tc>
          <w:tcPr>
            <w:tcW w:w="872" w:type="dxa"/>
          </w:tcPr>
          <w:p w:rsidR="0038424E" w:rsidRDefault="0038424E" w:rsidP="00C15D00">
            <w:pPr>
              <w:rPr>
                <w:rFonts w:ascii="Century Gothic" w:hAnsi="Century Gothic" w:cs="Arial"/>
                <w:color w:val="000000" w:themeColor="text1"/>
                <w:sz w:val="22"/>
                <w:szCs w:val="22"/>
              </w:rPr>
            </w:pPr>
            <w:r>
              <w:rPr>
                <w:rFonts w:ascii="Century Gothic" w:hAnsi="Century Gothic" w:cs="Arial"/>
                <w:color w:val="000000" w:themeColor="text1"/>
                <w:sz w:val="22"/>
                <w:szCs w:val="22"/>
              </w:rPr>
              <w:t>1</w:t>
            </w:r>
          </w:p>
        </w:tc>
        <w:tc>
          <w:tcPr>
            <w:tcW w:w="872" w:type="dxa"/>
          </w:tcPr>
          <w:p w:rsidR="0038424E" w:rsidRDefault="0038424E" w:rsidP="00C15D00">
            <w:pPr>
              <w:rPr>
                <w:rFonts w:ascii="Century Gothic" w:hAnsi="Century Gothic" w:cs="Arial"/>
                <w:color w:val="000000" w:themeColor="text1"/>
                <w:sz w:val="22"/>
                <w:szCs w:val="22"/>
              </w:rPr>
            </w:pPr>
          </w:p>
        </w:tc>
      </w:tr>
    </w:tbl>
    <w:p w:rsidR="0038424E" w:rsidRDefault="0038424E" w:rsidP="0038424E">
      <w:pPr>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 </w:t>
      </w:r>
      <w:r w:rsidRPr="007629AF">
        <w:rPr>
          <w:rFonts w:ascii="Century Gothic" w:hAnsi="Century Gothic" w:cs="Arial"/>
          <w:b/>
          <w:color w:val="000000" w:themeColor="text1"/>
          <w:sz w:val="22"/>
          <w:szCs w:val="22"/>
        </w:rPr>
        <w:t>83</w:t>
      </w:r>
      <w:r>
        <w:rPr>
          <w:rFonts w:ascii="Century Gothic" w:hAnsi="Century Gothic" w:cs="Arial"/>
          <w:color w:val="000000" w:themeColor="text1"/>
          <w:sz w:val="22"/>
          <w:szCs w:val="22"/>
        </w:rPr>
        <w:t xml:space="preserve">    grades 8 and 9 (2018)   </w:t>
      </w:r>
      <w:r w:rsidR="00702011">
        <w:rPr>
          <w:rFonts w:ascii="Century Gothic" w:hAnsi="Century Gothic" w:cs="Arial"/>
          <w:color w:val="000000" w:themeColor="text1"/>
          <w:sz w:val="22"/>
          <w:szCs w:val="22"/>
        </w:rPr>
        <w:t xml:space="preserve">     </w:t>
      </w:r>
      <w:r w:rsidRPr="007629AF">
        <w:rPr>
          <w:rFonts w:ascii="Century Gothic" w:hAnsi="Century Gothic" w:cs="Arial"/>
          <w:b/>
          <w:color w:val="000000" w:themeColor="text1"/>
          <w:sz w:val="22"/>
          <w:szCs w:val="22"/>
        </w:rPr>
        <w:t>72</w:t>
      </w:r>
      <w:r>
        <w:rPr>
          <w:rFonts w:ascii="Century Gothic" w:hAnsi="Century Gothic" w:cs="Arial"/>
          <w:color w:val="000000" w:themeColor="text1"/>
          <w:sz w:val="22"/>
          <w:szCs w:val="22"/>
        </w:rPr>
        <w:t xml:space="preserve">    </w:t>
      </w:r>
      <w:r w:rsidR="00702011">
        <w:rPr>
          <w:rFonts w:ascii="Century Gothic" w:hAnsi="Century Gothic" w:cs="Arial"/>
          <w:color w:val="000000" w:themeColor="text1"/>
          <w:sz w:val="22"/>
          <w:szCs w:val="22"/>
        </w:rPr>
        <w:t>grades 8</w:t>
      </w:r>
      <w:r>
        <w:rPr>
          <w:rFonts w:ascii="Century Gothic" w:hAnsi="Century Gothic" w:cs="Arial"/>
          <w:color w:val="000000" w:themeColor="text1"/>
          <w:sz w:val="22"/>
          <w:szCs w:val="22"/>
        </w:rPr>
        <w:t xml:space="preserve"> and 9 (2017).</w:t>
      </w:r>
    </w:p>
    <w:p w:rsidR="0038424E" w:rsidRDefault="0038424E" w:rsidP="0038424E">
      <w:pPr>
        <w:rPr>
          <w:rFonts w:ascii="Century Gothic" w:hAnsi="Century Gothic" w:cs="Arial"/>
          <w:color w:val="000000" w:themeColor="text1"/>
          <w:sz w:val="22"/>
          <w:szCs w:val="22"/>
        </w:rPr>
      </w:pPr>
    </w:p>
    <w:p w:rsidR="0038424E" w:rsidRPr="0038424E" w:rsidRDefault="0038424E" w:rsidP="0038424E">
      <w:pPr>
        <w:rPr>
          <w:rFonts w:ascii="Century Gothic" w:hAnsi="Century Gothic" w:cs="Arial"/>
          <w:b/>
          <w:color w:val="000000" w:themeColor="text1"/>
          <w:sz w:val="22"/>
          <w:szCs w:val="22"/>
        </w:rPr>
      </w:pPr>
      <w:r w:rsidRPr="0038424E">
        <w:rPr>
          <w:rFonts w:ascii="Century Gothic" w:hAnsi="Century Gothic" w:cs="Arial"/>
          <w:b/>
          <w:color w:val="000000" w:themeColor="text1"/>
          <w:sz w:val="22"/>
          <w:szCs w:val="22"/>
        </w:rPr>
        <w:t xml:space="preserve">Further Maths Level 2 </w:t>
      </w:r>
      <w:r>
        <w:rPr>
          <w:rFonts w:ascii="Century Gothic" w:hAnsi="Century Gothic" w:cs="Arial"/>
          <w:b/>
          <w:color w:val="000000" w:themeColor="text1"/>
          <w:sz w:val="22"/>
          <w:szCs w:val="22"/>
        </w:rPr>
        <w:t>2018</w:t>
      </w:r>
    </w:p>
    <w:p w:rsidR="0038424E" w:rsidRDefault="0038424E" w:rsidP="0038424E">
      <w:pPr>
        <w:rPr>
          <w:rFonts w:ascii="Century Gothic" w:hAnsi="Century Gothic" w:cs="Arial"/>
          <w:color w:val="000000" w:themeColor="text1"/>
          <w:sz w:val="22"/>
          <w:szCs w:val="22"/>
        </w:rPr>
      </w:pPr>
    </w:p>
    <w:tbl>
      <w:tblPr>
        <w:tblStyle w:val="TableGrid"/>
        <w:tblW w:w="4784" w:type="dxa"/>
        <w:tblLook w:val="04A0" w:firstRow="1" w:lastRow="0" w:firstColumn="1" w:lastColumn="0" w:noHBand="0" w:noVBand="1"/>
      </w:tblPr>
      <w:tblGrid>
        <w:gridCol w:w="1028"/>
        <w:gridCol w:w="673"/>
        <w:gridCol w:w="673"/>
        <w:gridCol w:w="673"/>
        <w:gridCol w:w="673"/>
        <w:gridCol w:w="673"/>
        <w:gridCol w:w="391"/>
      </w:tblGrid>
      <w:tr w:rsidR="0038424E" w:rsidTr="00702011">
        <w:trPr>
          <w:trHeight w:val="290"/>
        </w:trPr>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Grade</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A^</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A*</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A</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B</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C</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U</w:t>
            </w:r>
          </w:p>
        </w:tc>
      </w:tr>
      <w:tr w:rsidR="0038424E" w:rsidTr="00702011">
        <w:trPr>
          <w:trHeight w:val="258"/>
        </w:trPr>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No.</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13</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16</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30</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23</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15</w:t>
            </w:r>
          </w:p>
        </w:tc>
        <w:tc>
          <w:tcPr>
            <w:tcW w:w="0" w:type="auto"/>
          </w:tcPr>
          <w:p w:rsidR="0038424E" w:rsidRPr="0038424E" w:rsidRDefault="0038424E" w:rsidP="00C15D00">
            <w:pPr>
              <w:pStyle w:val="Standard"/>
              <w:snapToGrid w:val="0"/>
              <w:rPr>
                <w:rFonts w:ascii="Century Gothic" w:hAnsi="Century Gothic" w:cs="Arial"/>
                <w:color w:val="000000" w:themeColor="text1"/>
                <w:sz w:val="24"/>
                <w:szCs w:val="24"/>
              </w:rPr>
            </w:pPr>
            <w:r w:rsidRPr="0038424E">
              <w:rPr>
                <w:rFonts w:ascii="Century Gothic" w:hAnsi="Century Gothic" w:cs="Arial"/>
                <w:color w:val="000000" w:themeColor="text1"/>
                <w:sz w:val="24"/>
                <w:szCs w:val="24"/>
              </w:rPr>
              <w:t>4</w:t>
            </w:r>
          </w:p>
        </w:tc>
      </w:tr>
      <w:tr w:rsidR="0038424E" w:rsidRPr="00702011" w:rsidTr="00702011">
        <w:trPr>
          <w:trHeight w:val="343"/>
        </w:trPr>
        <w:tc>
          <w:tcPr>
            <w:tcW w:w="0" w:type="auto"/>
          </w:tcPr>
          <w:p w:rsidR="0038424E" w:rsidRPr="00702011" w:rsidRDefault="0038424E" w:rsidP="00C15D00">
            <w:pPr>
              <w:pStyle w:val="Standard"/>
              <w:snapToGrid w:val="0"/>
              <w:rPr>
                <w:rFonts w:ascii="Century Gothic" w:hAnsi="Century Gothic" w:cs="Arial"/>
                <w:color w:val="000000" w:themeColor="text1"/>
                <w:szCs w:val="24"/>
              </w:rPr>
            </w:pPr>
            <w:r w:rsidRPr="00702011">
              <w:rPr>
                <w:rFonts w:ascii="Century Gothic" w:hAnsi="Century Gothic" w:cs="Arial"/>
                <w:color w:val="000000" w:themeColor="text1"/>
                <w:szCs w:val="24"/>
              </w:rPr>
              <w:t>%</w:t>
            </w:r>
          </w:p>
        </w:tc>
        <w:tc>
          <w:tcPr>
            <w:tcW w:w="0" w:type="auto"/>
          </w:tcPr>
          <w:p w:rsidR="0038424E" w:rsidRPr="00702011" w:rsidRDefault="0038424E" w:rsidP="00C15D00">
            <w:pPr>
              <w:pStyle w:val="Standard"/>
              <w:snapToGrid w:val="0"/>
              <w:rPr>
                <w:rFonts w:ascii="Century Gothic" w:hAnsi="Century Gothic" w:cs="Arial"/>
                <w:color w:val="000000" w:themeColor="text1"/>
                <w:szCs w:val="24"/>
              </w:rPr>
            </w:pPr>
            <w:r w:rsidRPr="00702011">
              <w:rPr>
                <w:rFonts w:ascii="Century Gothic" w:hAnsi="Century Gothic" w:cs="Arial"/>
                <w:color w:val="000000" w:themeColor="text1"/>
                <w:szCs w:val="24"/>
              </w:rPr>
              <w:t>12.9</w:t>
            </w:r>
          </w:p>
        </w:tc>
        <w:tc>
          <w:tcPr>
            <w:tcW w:w="0" w:type="auto"/>
          </w:tcPr>
          <w:p w:rsidR="0038424E" w:rsidRPr="00702011" w:rsidRDefault="0038424E" w:rsidP="00C15D00">
            <w:pPr>
              <w:pStyle w:val="Standard"/>
              <w:snapToGrid w:val="0"/>
              <w:rPr>
                <w:rFonts w:ascii="Century Gothic" w:hAnsi="Century Gothic" w:cs="Arial"/>
                <w:color w:val="000000" w:themeColor="text1"/>
                <w:szCs w:val="24"/>
              </w:rPr>
            </w:pPr>
            <w:r w:rsidRPr="00702011">
              <w:rPr>
                <w:rFonts w:ascii="Century Gothic" w:hAnsi="Century Gothic" w:cs="Arial"/>
                <w:color w:val="000000" w:themeColor="text1"/>
                <w:szCs w:val="24"/>
              </w:rPr>
              <w:t>15.8</w:t>
            </w:r>
          </w:p>
        </w:tc>
        <w:tc>
          <w:tcPr>
            <w:tcW w:w="0" w:type="auto"/>
          </w:tcPr>
          <w:p w:rsidR="0038424E" w:rsidRPr="00702011" w:rsidRDefault="0038424E" w:rsidP="00C15D00">
            <w:pPr>
              <w:pStyle w:val="Standard"/>
              <w:snapToGrid w:val="0"/>
              <w:rPr>
                <w:rFonts w:ascii="Century Gothic" w:hAnsi="Century Gothic" w:cs="Arial"/>
                <w:color w:val="000000" w:themeColor="text1"/>
                <w:szCs w:val="24"/>
              </w:rPr>
            </w:pPr>
            <w:r w:rsidRPr="00702011">
              <w:rPr>
                <w:rFonts w:ascii="Century Gothic" w:hAnsi="Century Gothic" w:cs="Arial"/>
                <w:color w:val="000000" w:themeColor="text1"/>
                <w:szCs w:val="24"/>
              </w:rPr>
              <w:t>29.7</w:t>
            </w:r>
          </w:p>
        </w:tc>
        <w:tc>
          <w:tcPr>
            <w:tcW w:w="0" w:type="auto"/>
          </w:tcPr>
          <w:p w:rsidR="0038424E" w:rsidRPr="00702011" w:rsidRDefault="0038424E" w:rsidP="00C15D00">
            <w:pPr>
              <w:pStyle w:val="Standard"/>
              <w:snapToGrid w:val="0"/>
              <w:rPr>
                <w:rFonts w:ascii="Century Gothic" w:hAnsi="Century Gothic" w:cs="Arial"/>
                <w:color w:val="000000" w:themeColor="text1"/>
                <w:szCs w:val="24"/>
              </w:rPr>
            </w:pPr>
            <w:r w:rsidRPr="00702011">
              <w:rPr>
                <w:rFonts w:ascii="Century Gothic" w:hAnsi="Century Gothic" w:cs="Arial"/>
                <w:color w:val="000000" w:themeColor="text1"/>
                <w:szCs w:val="24"/>
              </w:rPr>
              <w:t>22.7</w:t>
            </w:r>
          </w:p>
        </w:tc>
        <w:tc>
          <w:tcPr>
            <w:tcW w:w="0" w:type="auto"/>
          </w:tcPr>
          <w:p w:rsidR="0038424E" w:rsidRPr="00702011" w:rsidRDefault="0038424E" w:rsidP="00C15D00">
            <w:pPr>
              <w:pStyle w:val="Standard"/>
              <w:snapToGrid w:val="0"/>
              <w:rPr>
                <w:rFonts w:ascii="Century Gothic" w:hAnsi="Century Gothic" w:cs="Arial"/>
                <w:color w:val="000000" w:themeColor="text1"/>
                <w:szCs w:val="24"/>
              </w:rPr>
            </w:pPr>
            <w:r w:rsidRPr="00702011">
              <w:rPr>
                <w:rFonts w:ascii="Century Gothic" w:hAnsi="Century Gothic" w:cs="Arial"/>
                <w:color w:val="000000" w:themeColor="text1"/>
                <w:szCs w:val="24"/>
              </w:rPr>
              <w:t>14.9</w:t>
            </w:r>
          </w:p>
        </w:tc>
        <w:tc>
          <w:tcPr>
            <w:tcW w:w="0" w:type="auto"/>
          </w:tcPr>
          <w:p w:rsidR="0038424E" w:rsidRPr="00702011" w:rsidRDefault="0038424E" w:rsidP="00C15D00">
            <w:pPr>
              <w:pStyle w:val="Standard"/>
              <w:snapToGrid w:val="0"/>
              <w:rPr>
                <w:rFonts w:ascii="Century Gothic" w:hAnsi="Century Gothic" w:cs="Arial"/>
                <w:color w:val="000000" w:themeColor="text1"/>
                <w:szCs w:val="24"/>
              </w:rPr>
            </w:pPr>
            <w:r w:rsidRPr="00702011">
              <w:rPr>
                <w:rFonts w:ascii="Century Gothic" w:hAnsi="Century Gothic" w:cs="Arial"/>
                <w:color w:val="000000" w:themeColor="text1"/>
                <w:szCs w:val="24"/>
              </w:rPr>
              <w:t>4</w:t>
            </w:r>
          </w:p>
        </w:tc>
      </w:tr>
    </w:tbl>
    <w:p w:rsidR="00641429" w:rsidRPr="00E55111" w:rsidRDefault="00641429" w:rsidP="00B62CC9">
      <w:pPr>
        <w:pStyle w:val="Title"/>
        <w:jc w:val="left"/>
        <w:rPr>
          <w:rFonts w:ascii="Arial" w:hAnsi="Arial" w:cs="Arial"/>
          <w:sz w:val="21"/>
          <w:szCs w:val="21"/>
        </w:rPr>
      </w:pPr>
    </w:p>
    <w:sectPr w:rsidR="00641429" w:rsidRPr="00E55111" w:rsidSect="00334CF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72E2"/>
    <w:multiLevelType w:val="hybridMultilevel"/>
    <w:tmpl w:val="22F0C07C"/>
    <w:lvl w:ilvl="0" w:tplc="98C40A3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D48A2"/>
    <w:multiLevelType w:val="hybridMultilevel"/>
    <w:tmpl w:val="6D025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003B0"/>
    <w:multiLevelType w:val="hybridMultilevel"/>
    <w:tmpl w:val="1D4EA77A"/>
    <w:lvl w:ilvl="0" w:tplc="98C40A3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47318"/>
    <w:multiLevelType w:val="hybridMultilevel"/>
    <w:tmpl w:val="699A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E64BA"/>
    <w:multiLevelType w:val="hybridMultilevel"/>
    <w:tmpl w:val="FE0480EA"/>
    <w:lvl w:ilvl="0" w:tplc="98C40A3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A4E77"/>
    <w:multiLevelType w:val="hybridMultilevel"/>
    <w:tmpl w:val="C2061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274DE"/>
    <w:multiLevelType w:val="hybridMultilevel"/>
    <w:tmpl w:val="50D0B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44A81"/>
    <w:multiLevelType w:val="hybridMultilevel"/>
    <w:tmpl w:val="13C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87B3C"/>
    <w:multiLevelType w:val="hybridMultilevel"/>
    <w:tmpl w:val="09EA937C"/>
    <w:lvl w:ilvl="0" w:tplc="98C40A3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2"/>
    <w:rsid w:val="00000457"/>
    <w:rsid w:val="00001815"/>
    <w:rsid w:val="000218D7"/>
    <w:rsid w:val="000423D6"/>
    <w:rsid w:val="001773BB"/>
    <w:rsid w:val="0019076B"/>
    <w:rsid w:val="001B4F4E"/>
    <w:rsid w:val="001B59DA"/>
    <w:rsid w:val="001D5373"/>
    <w:rsid w:val="001D5ED1"/>
    <w:rsid w:val="001E378E"/>
    <w:rsid w:val="00216E35"/>
    <w:rsid w:val="002537C3"/>
    <w:rsid w:val="00262BA5"/>
    <w:rsid w:val="002A6F04"/>
    <w:rsid w:val="002D61C2"/>
    <w:rsid w:val="00334CFD"/>
    <w:rsid w:val="00354DB6"/>
    <w:rsid w:val="0038424E"/>
    <w:rsid w:val="003B4B4E"/>
    <w:rsid w:val="00411BC5"/>
    <w:rsid w:val="00416FE2"/>
    <w:rsid w:val="00430964"/>
    <w:rsid w:val="00454C36"/>
    <w:rsid w:val="00472FB1"/>
    <w:rsid w:val="004903FA"/>
    <w:rsid w:val="004D7FE7"/>
    <w:rsid w:val="00514BC7"/>
    <w:rsid w:val="00532B81"/>
    <w:rsid w:val="005355EB"/>
    <w:rsid w:val="00570BCB"/>
    <w:rsid w:val="00581990"/>
    <w:rsid w:val="005D337E"/>
    <w:rsid w:val="005E3930"/>
    <w:rsid w:val="005F3691"/>
    <w:rsid w:val="00605422"/>
    <w:rsid w:val="00641429"/>
    <w:rsid w:val="006C4E16"/>
    <w:rsid w:val="006C7B90"/>
    <w:rsid w:val="006D2D6A"/>
    <w:rsid w:val="00702011"/>
    <w:rsid w:val="00702349"/>
    <w:rsid w:val="007449A4"/>
    <w:rsid w:val="007A3A82"/>
    <w:rsid w:val="007B386C"/>
    <w:rsid w:val="007C09B6"/>
    <w:rsid w:val="007C7EC4"/>
    <w:rsid w:val="008820A2"/>
    <w:rsid w:val="008A0731"/>
    <w:rsid w:val="008A0C0B"/>
    <w:rsid w:val="0096312E"/>
    <w:rsid w:val="00963169"/>
    <w:rsid w:val="009C1166"/>
    <w:rsid w:val="009C3CA7"/>
    <w:rsid w:val="00A12504"/>
    <w:rsid w:val="00A13D69"/>
    <w:rsid w:val="00A86DBE"/>
    <w:rsid w:val="00AA6F79"/>
    <w:rsid w:val="00AC6FBD"/>
    <w:rsid w:val="00B62CC9"/>
    <w:rsid w:val="00B936AC"/>
    <w:rsid w:val="00BB1857"/>
    <w:rsid w:val="00BC1AF5"/>
    <w:rsid w:val="00C1393D"/>
    <w:rsid w:val="00C17044"/>
    <w:rsid w:val="00C442D0"/>
    <w:rsid w:val="00C465DC"/>
    <w:rsid w:val="00C949C0"/>
    <w:rsid w:val="00CA47B4"/>
    <w:rsid w:val="00CC3FB5"/>
    <w:rsid w:val="00CF1511"/>
    <w:rsid w:val="00D20A6B"/>
    <w:rsid w:val="00D9724E"/>
    <w:rsid w:val="00DC7338"/>
    <w:rsid w:val="00DD46FA"/>
    <w:rsid w:val="00E11E33"/>
    <w:rsid w:val="00E55111"/>
    <w:rsid w:val="00EF05BD"/>
    <w:rsid w:val="00F113A5"/>
    <w:rsid w:val="00F3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335FA6-EB5E-4861-A6B3-52F6D6A5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2E"/>
    <w:rPr>
      <w:sz w:val="24"/>
      <w:szCs w:val="24"/>
      <w:lang w:eastAsia="en-US"/>
    </w:rPr>
  </w:style>
  <w:style w:type="paragraph" w:styleId="Heading1">
    <w:name w:val="heading 1"/>
    <w:basedOn w:val="Normal"/>
    <w:next w:val="Normal"/>
    <w:qFormat/>
    <w:rsid w:val="0096312E"/>
    <w:pPr>
      <w:keepNext/>
      <w:jc w:val="center"/>
      <w:outlineLvl w:val="0"/>
    </w:pPr>
    <w:rPr>
      <w:b/>
      <w:bCs/>
    </w:rPr>
  </w:style>
  <w:style w:type="paragraph" w:styleId="Heading2">
    <w:name w:val="heading 2"/>
    <w:basedOn w:val="Normal"/>
    <w:next w:val="Normal"/>
    <w:qFormat/>
    <w:rsid w:val="0096312E"/>
    <w:pPr>
      <w:keepNext/>
      <w:outlineLvl w:val="1"/>
    </w:pPr>
    <w:rPr>
      <w:b/>
      <w:bCs/>
    </w:rPr>
  </w:style>
  <w:style w:type="paragraph" w:styleId="Heading4">
    <w:name w:val="heading 4"/>
    <w:basedOn w:val="Normal"/>
    <w:next w:val="Normal"/>
    <w:link w:val="Heading4Char"/>
    <w:semiHidden/>
    <w:unhideWhenUsed/>
    <w:qFormat/>
    <w:rsid w:val="006414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4142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312E"/>
    <w:rPr>
      <w:color w:val="0000FF"/>
      <w:u w:val="single"/>
    </w:rPr>
  </w:style>
  <w:style w:type="character" w:styleId="FollowedHyperlink">
    <w:name w:val="FollowedHyperlink"/>
    <w:basedOn w:val="DefaultParagraphFont"/>
    <w:rsid w:val="00B936AC"/>
    <w:rPr>
      <w:color w:val="800080"/>
      <w:u w:val="single"/>
    </w:rPr>
  </w:style>
  <w:style w:type="paragraph" w:styleId="BalloonText">
    <w:name w:val="Balloon Text"/>
    <w:basedOn w:val="Normal"/>
    <w:semiHidden/>
    <w:rsid w:val="00B936AC"/>
    <w:rPr>
      <w:rFonts w:ascii="Tahoma" w:hAnsi="Tahoma" w:cs="Tahoma"/>
      <w:sz w:val="16"/>
      <w:szCs w:val="16"/>
    </w:rPr>
  </w:style>
  <w:style w:type="paragraph" w:styleId="ListParagraph">
    <w:name w:val="List Paragraph"/>
    <w:basedOn w:val="Normal"/>
    <w:uiPriority w:val="34"/>
    <w:qFormat/>
    <w:rsid w:val="00641429"/>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641429"/>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semiHidden/>
    <w:rsid w:val="00641429"/>
    <w:rPr>
      <w:rFonts w:asciiTheme="majorHAnsi" w:eastAsiaTheme="majorEastAsia" w:hAnsiTheme="majorHAnsi" w:cstheme="majorBidi"/>
      <w:color w:val="365F91" w:themeColor="accent1" w:themeShade="BF"/>
      <w:sz w:val="24"/>
      <w:szCs w:val="24"/>
      <w:lang w:eastAsia="en-US"/>
    </w:rPr>
  </w:style>
  <w:style w:type="paragraph" w:styleId="Title">
    <w:name w:val="Title"/>
    <w:basedOn w:val="Normal"/>
    <w:link w:val="TitleChar"/>
    <w:qFormat/>
    <w:rsid w:val="00641429"/>
    <w:pPr>
      <w:jc w:val="center"/>
    </w:pPr>
    <w:rPr>
      <w:b/>
      <w:bCs/>
    </w:rPr>
  </w:style>
  <w:style w:type="character" w:customStyle="1" w:styleId="TitleChar">
    <w:name w:val="Title Char"/>
    <w:basedOn w:val="DefaultParagraphFont"/>
    <w:link w:val="Title"/>
    <w:rsid w:val="00641429"/>
    <w:rPr>
      <w:b/>
      <w:bCs/>
      <w:sz w:val="24"/>
      <w:szCs w:val="24"/>
      <w:lang w:eastAsia="en-US"/>
    </w:rPr>
  </w:style>
  <w:style w:type="paragraph" w:styleId="BodyText">
    <w:name w:val="Body Text"/>
    <w:basedOn w:val="Normal"/>
    <w:link w:val="BodyTextChar"/>
    <w:semiHidden/>
    <w:rsid w:val="00641429"/>
    <w:pPr>
      <w:jc w:val="both"/>
    </w:pPr>
  </w:style>
  <w:style w:type="character" w:customStyle="1" w:styleId="BodyTextChar">
    <w:name w:val="Body Text Char"/>
    <w:basedOn w:val="DefaultParagraphFont"/>
    <w:link w:val="BodyText"/>
    <w:semiHidden/>
    <w:rsid w:val="00641429"/>
    <w:rPr>
      <w:sz w:val="24"/>
      <w:szCs w:val="24"/>
      <w:lang w:eastAsia="en-US"/>
    </w:rPr>
  </w:style>
  <w:style w:type="paragraph" w:styleId="Subtitle">
    <w:name w:val="Subtitle"/>
    <w:basedOn w:val="Normal"/>
    <w:link w:val="SubtitleChar"/>
    <w:qFormat/>
    <w:rsid w:val="00641429"/>
    <w:pPr>
      <w:ind w:left="1440" w:hanging="1440"/>
      <w:jc w:val="both"/>
    </w:pPr>
    <w:rPr>
      <w:b/>
      <w:bCs/>
      <w:sz w:val="22"/>
    </w:rPr>
  </w:style>
  <w:style w:type="character" w:customStyle="1" w:styleId="SubtitleChar">
    <w:name w:val="Subtitle Char"/>
    <w:basedOn w:val="DefaultParagraphFont"/>
    <w:link w:val="Subtitle"/>
    <w:rsid w:val="00641429"/>
    <w:rPr>
      <w:b/>
      <w:bCs/>
      <w:sz w:val="22"/>
      <w:szCs w:val="24"/>
      <w:lang w:eastAsia="en-US"/>
    </w:rPr>
  </w:style>
  <w:style w:type="paragraph" w:styleId="BodyText2">
    <w:name w:val="Body Text 2"/>
    <w:basedOn w:val="Normal"/>
    <w:link w:val="BodyText2Char"/>
    <w:semiHidden/>
    <w:rsid w:val="00641429"/>
    <w:pPr>
      <w:jc w:val="both"/>
    </w:pPr>
    <w:rPr>
      <w:sz w:val="22"/>
    </w:rPr>
  </w:style>
  <w:style w:type="character" w:customStyle="1" w:styleId="BodyText2Char">
    <w:name w:val="Body Text 2 Char"/>
    <w:basedOn w:val="DefaultParagraphFont"/>
    <w:link w:val="BodyText2"/>
    <w:semiHidden/>
    <w:rsid w:val="00641429"/>
    <w:rPr>
      <w:sz w:val="22"/>
      <w:szCs w:val="24"/>
      <w:lang w:eastAsia="en-US"/>
    </w:rPr>
  </w:style>
  <w:style w:type="table" w:styleId="TableGrid">
    <w:name w:val="Table Grid"/>
    <w:basedOn w:val="TableNormal"/>
    <w:uiPriority w:val="59"/>
    <w:rsid w:val="003842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8424E"/>
    <w:pPr>
      <w:suppressAutoHyphens/>
      <w:autoSpaceDN w:val="0"/>
      <w:spacing w:after="200" w:line="276" w:lineRule="auto"/>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olegramm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7152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PhysicsTeacher</vt:lpstr>
    </vt:vector>
  </TitlesOfParts>
  <Company>ICC Ed</Company>
  <LinksUpToDate>false</LinksUpToDate>
  <CharactersWithSpaces>8561</CharactersWithSpaces>
  <SharedDoc>false</SharedDoc>
  <HLinks>
    <vt:vector size="6" baseType="variant">
      <vt:variant>
        <vt:i4>4259908</vt:i4>
      </vt:variant>
      <vt:variant>
        <vt:i4>0</vt:i4>
      </vt:variant>
      <vt:variant>
        <vt:i4>0</vt:i4>
      </vt:variant>
      <vt:variant>
        <vt:i4>5</vt:i4>
      </vt:variant>
      <vt:variant>
        <vt:lpwstr>http://www.poolegrammar.com/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PhysicsTeacher</dc:title>
  <dc:creator>Ian Carter</dc:creator>
  <cp:lastModifiedBy>ShepherdK</cp:lastModifiedBy>
  <cp:revision>3</cp:revision>
  <cp:lastPrinted>2016-02-01T12:12:00Z</cp:lastPrinted>
  <dcterms:created xsi:type="dcterms:W3CDTF">2019-02-05T08:42:00Z</dcterms:created>
  <dcterms:modified xsi:type="dcterms:W3CDTF">2019-02-05T08:42:00Z</dcterms:modified>
</cp:coreProperties>
</file>