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2FEFC" w14:textId="77777777" w:rsidR="00E50A9F" w:rsidRPr="00E50A9F" w:rsidRDefault="00E50A9F" w:rsidP="00E50A9F">
      <w:pPr>
        <w:jc w:val="right"/>
        <w:rPr>
          <w:rFonts w:cstheme="minorHAnsi"/>
          <w:sz w:val="24"/>
          <w:szCs w:val="24"/>
        </w:rPr>
      </w:pPr>
    </w:p>
    <w:p w14:paraId="01FCC5F1" w14:textId="77777777" w:rsidR="00E50A9F" w:rsidRPr="00A36587" w:rsidRDefault="00E50A9F" w:rsidP="00E50A9F">
      <w:pPr>
        <w:jc w:val="right"/>
        <w:rPr>
          <w:rFonts w:cstheme="minorHAnsi"/>
        </w:rPr>
      </w:pPr>
    </w:p>
    <w:p w14:paraId="59427176" w14:textId="77777777" w:rsidR="00E50A9F" w:rsidRPr="00A36587" w:rsidRDefault="00E50A9F" w:rsidP="00E50A9F">
      <w:pPr>
        <w:jc w:val="right"/>
        <w:rPr>
          <w:rFonts w:cstheme="minorHAnsi"/>
        </w:rPr>
      </w:pPr>
    </w:p>
    <w:p w14:paraId="7034FBD9" w14:textId="77777777" w:rsidR="00E50A9F" w:rsidRPr="00A36587" w:rsidRDefault="00E50A9F" w:rsidP="00E50A9F">
      <w:pPr>
        <w:rPr>
          <w:rFonts w:cstheme="minorHAnsi"/>
        </w:rPr>
      </w:pPr>
    </w:p>
    <w:p w14:paraId="3BAE9FCE" w14:textId="6ECCE47D" w:rsidR="00E50A9F" w:rsidRPr="00A36587" w:rsidRDefault="00E50A9F" w:rsidP="00E50A9F">
      <w:pPr>
        <w:spacing w:after="0" w:line="240" w:lineRule="auto"/>
        <w:rPr>
          <w:rFonts w:eastAsia="Times New Roman" w:cstheme="minorHAnsi"/>
          <w:iCs/>
          <w:color w:val="222222"/>
          <w:lang w:eastAsia="en-GB"/>
        </w:rPr>
      </w:pPr>
    </w:p>
    <w:p w14:paraId="60FE72C5" w14:textId="77777777" w:rsidR="00E50A9F" w:rsidRPr="00A36587" w:rsidRDefault="00E50A9F" w:rsidP="00E50A9F">
      <w:pPr>
        <w:spacing w:after="0" w:line="240" w:lineRule="auto"/>
        <w:rPr>
          <w:rFonts w:eastAsia="Times New Roman" w:cstheme="minorHAnsi"/>
          <w:iCs/>
          <w:color w:val="222222"/>
          <w:lang w:eastAsia="en-GB"/>
        </w:rPr>
      </w:pPr>
    </w:p>
    <w:p w14:paraId="760CFC21" w14:textId="77777777" w:rsidR="00E50A9F" w:rsidRPr="00A36587" w:rsidRDefault="00E50A9F" w:rsidP="00E50A9F">
      <w:pPr>
        <w:spacing w:after="0" w:line="240" w:lineRule="auto"/>
        <w:rPr>
          <w:rFonts w:eastAsia="Times New Roman" w:cstheme="minorHAnsi"/>
          <w:iCs/>
          <w:color w:val="222222"/>
          <w:lang w:eastAsia="en-GB"/>
        </w:rPr>
      </w:pPr>
    </w:p>
    <w:p w14:paraId="63729EC0" w14:textId="77777777" w:rsidR="00E50A9F" w:rsidRPr="00A36587" w:rsidRDefault="00E50A9F" w:rsidP="00E50A9F">
      <w:pPr>
        <w:spacing w:after="0" w:line="240" w:lineRule="auto"/>
        <w:rPr>
          <w:rFonts w:eastAsia="Times New Roman" w:cstheme="minorHAnsi"/>
          <w:iCs/>
          <w:color w:val="222222"/>
          <w:lang w:eastAsia="en-GB"/>
        </w:rPr>
      </w:pPr>
    </w:p>
    <w:tbl>
      <w:tblPr>
        <w:tblW w:w="10536" w:type="dxa"/>
        <w:tblLayout w:type="fixed"/>
        <w:tblLook w:val="0400" w:firstRow="0" w:lastRow="0" w:firstColumn="0" w:lastColumn="0" w:noHBand="0" w:noVBand="1"/>
      </w:tblPr>
      <w:tblGrid>
        <w:gridCol w:w="2173"/>
        <w:gridCol w:w="8363"/>
      </w:tblGrid>
      <w:tr w:rsidR="00C224AC" w:rsidRPr="00A36587" w14:paraId="1385E7D1" w14:textId="77777777" w:rsidTr="00395276">
        <w:tc>
          <w:tcPr>
            <w:tcW w:w="2173" w:type="dxa"/>
            <w:shd w:val="clear" w:color="auto" w:fill="D9D9D9"/>
            <w:tcMar>
              <w:top w:w="0" w:type="dxa"/>
              <w:left w:w="108" w:type="dxa"/>
              <w:bottom w:w="0" w:type="dxa"/>
              <w:right w:w="108" w:type="dxa"/>
            </w:tcMar>
          </w:tcPr>
          <w:p w14:paraId="21C15A10" w14:textId="77777777" w:rsidR="00C224AC" w:rsidRPr="00A36587" w:rsidRDefault="00C224AC" w:rsidP="00395276">
            <w:pPr>
              <w:rPr>
                <w:rFonts w:cstheme="minorHAnsi"/>
              </w:rPr>
            </w:pPr>
            <w:r w:rsidRPr="00A36587">
              <w:rPr>
                <w:rFonts w:cstheme="minorHAnsi"/>
                <w:b/>
              </w:rPr>
              <w:t>Job Title</w:t>
            </w:r>
          </w:p>
        </w:tc>
        <w:tc>
          <w:tcPr>
            <w:tcW w:w="8363" w:type="dxa"/>
            <w:tcMar>
              <w:top w:w="0" w:type="dxa"/>
              <w:left w:w="108" w:type="dxa"/>
              <w:bottom w:w="0" w:type="dxa"/>
              <w:right w:w="108" w:type="dxa"/>
            </w:tcMar>
          </w:tcPr>
          <w:p w14:paraId="11A8CB24" w14:textId="77777777" w:rsidR="00C224AC" w:rsidRPr="00A36587" w:rsidRDefault="00C224AC" w:rsidP="00395276">
            <w:pPr>
              <w:rPr>
                <w:rFonts w:cstheme="minorHAnsi"/>
              </w:rPr>
            </w:pPr>
            <w:r w:rsidRPr="00A36587">
              <w:rPr>
                <w:rFonts w:cstheme="minorHAnsi"/>
              </w:rPr>
              <w:t>Cover Manager</w:t>
            </w:r>
          </w:p>
        </w:tc>
      </w:tr>
      <w:tr w:rsidR="00C224AC" w:rsidRPr="00A36587" w14:paraId="65EB5D5F" w14:textId="77777777" w:rsidTr="00395276">
        <w:tc>
          <w:tcPr>
            <w:tcW w:w="2173" w:type="dxa"/>
            <w:shd w:val="clear" w:color="auto" w:fill="D9D9D9"/>
            <w:tcMar>
              <w:top w:w="0" w:type="dxa"/>
              <w:left w:w="108" w:type="dxa"/>
              <w:bottom w:w="0" w:type="dxa"/>
              <w:right w:w="108" w:type="dxa"/>
            </w:tcMar>
          </w:tcPr>
          <w:p w14:paraId="131AF832" w14:textId="77777777" w:rsidR="00C224AC" w:rsidRPr="00A36587" w:rsidRDefault="00C224AC" w:rsidP="00395276">
            <w:pPr>
              <w:rPr>
                <w:rFonts w:cstheme="minorHAnsi"/>
              </w:rPr>
            </w:pPr>
            <w:r w:rsidRPr="00A36587">
              <w:rPr>
                <w:rFonts w:cstheme="minorHAnsi"/>
                <w:b/>
              </w:rPr>
              <w:t>Hours</w:t>
            </w:r>
          </w:p>
        </w:tc>
        <w:tc>
          <w:tcPr>
            <w:tcW w:w="8363" w:type="dxa"/>
            <w:tcMar>
              <w:top w:w="0" w:type="dxa"/>
              <w:left w:w="108" w:type="dxa"/>
              <w:bottom w:w="0" w:type="dxa"/>
              <w:right w:w="108" w:type="dxa"/>
            </w:tcMar>
          </w:tcPr>
          <w:p w14:paraId="0CB063A5" w14:textId="77777777" w:rsidR="00C224AC" w:rsidRPr="00A36587" w:rsidRDefault="00C224AC" w:rsidP="00395276">
            <w:pPr>
              <w:rPr>
                <w:rFonts w:cstheme="minorHAnsi"/>
              </w:rPr>
            </w:pPr>
            <w:r w:rsidRPr="00A36587">
              <w:rPr>
                <w:rFonts w:cstheme="minorHAnsi"/>
              </w:rPr>
              <w:t>36 hours per week</w:t>
            </w:r>
          </w:p>
        </w:tc>
      </w:tr>
      <w:tr w:rsidR="00C224AC" w:rsidRPr="00A36587" w14:paraId="66B9425E" w14:textId="77777777" w:rsidTr="00395276">
        <w:tc>
          <w:tcPr>
            <w:tcW w:w="2173" w:type="dxa"/>
            <w:shd w:val="clear" w:color="auto" w:fill="D9D9D9"/>
            <w:tcMar>
              <w:top w:w="0" w:type="dxa"/>
              <w:left w:w="108" w:type="dxa"/>
              <w:bottom w:w="0" w:type="dxa"/>
              <w:right w:w="108" w:type="dxa"/>
            </w:tcMar>
          </w:tcPr>
          <w:p w14:paraId="1169FAB4" w14:textId="77777777" w:rsidR="00C224AC" w:rsidRPr="00A36587" w:rsidRDefault="00C224AC" w:rsidP="00395276">
            <w:pPr>
              <w:rPr>
                <w:rFonts w:cstheme="minorHAnsi"/>
              </w:rPr>
            </w:pPr>
            <w:r w:rsidRPr="00A36587">
              <w:rPr>
                <w:rFonts w:cstheme="minorHAnsi"/>
                <w:b/>
              </w:rPr>
              <w:t>Grade</w:t>
            </w:r>
          </w:p>
        </w:tc>
        <w:tc>
          <w:tcPr>
            <w:tcW w:w="8363" w:type="dxa"/>
            <w:tcMar>
              <w:top w:w="0" w:type="dxa"/>
              <w:left w:w="108" w:type="dxa"/>
              <w:bottom w:w="0" w:type="dxa"/>
              <w:right w:w="108" w:type="dxa"/>
            </w:tcMar>
          </w:tcPr>
          <w:p w14:paraId="4C6556A1" w14:textId="5E9060FA" w:rsidR="00C224AC" w:rsidRPr="00A36587" w:rsidRDefault="00C224AC" w:rsidP="00395276">
            <w:pPr>
              <w:rPr>
                <w:rFonts w:cstheme="minorHAnsi"/>
              </w:rPr>
            </w:pPr>
            <w:r w:rsidRPr="00A36587">
              <w:rPr>
                <w:rFonts w:cstheme="minorHAnsi"/>
              </w:rPr>
              <w:t xml:space="preserve">Grade F, Point 17. Actual salary £25,854 - £27,837 (£30,060 - £32,365 Full-time equivalent) </w:t>
            </w:r>
          </w:p>
        </w:tc>
      </w:tr>
      <w:tr w:rsidR="00C224AC" w:rsidRPr="00A36587" w14:paraId="22FAF07D" w14:textId="77777777" w:rsidTr="00395276">
        <w:tc>
          <w:tcPr>
            <w:tcW w:w="2173" w:type="dxa"/>
            <w:shd w:val="clear" w:color="auto" w:fill="D9D9D9"/>
            <w:tcMar>
              <w:top w:w="0" w:type="dxa"/>
              <w:left w:w="108" w:type="dxa"/>
              <w:bottom w:w="0" w:type="dxa"/>
              <w:right w:w="108" w:type="dxa"/>
            </w:tcMar>
          </w:tcPr>
          <w:p w14:paraId="6C33EEDB" w14:textId="77777777" w:rsidR="00C224AC" w:rsidRPr="00A36587" w:rsidRDefault="00C224AC" w:rsidP="00395276">
            <w:pPr>
              <w:rPr>
                <w:rFonts w:cstheme="minorHAnsi"/>
              </w:rPr>
            </w:pPr>
            <w:r w:rsidRPr="00A36587">
              <w:rPr>
                <w:rFonts w:cstheme="minorHAnsi"/>
                <w:b/>
              </w:rPr>
              <w:t>Contract Type</w:t>
            </w:r>
          </w:p>
        </w:tc>
        <w:tc>
          <w:tcPr>
            <w:tcW w:w="8363" w:type="dxa"/>
            <w:tcMar>
              <w:top w:w="0" w:type="dxa"/>
              <w:left w:w="108" w:type="dxa"/>
              <w:bottom w:w="0" w:type="dxa"/>
              <w:right w:w="108" w:type="dxa"/>
            </w:tcMar>
          </w:tcPr>
          <w:p w14:paraId="1F5F382E" w14:textId="77777777" w:rsidR="00C224AC" w:rsidRPr="00A36587" w:rsidRDefault="00C224AC" w:rsidP="00395276">
            <w:pPr>
              <w:rPr>
                <w:rFonts w:cstheme="minorHAnsi"/>
              </w:rPr>
            </w:pPr>
            <w:r w:rsidRPr="00A36587">
              <w:rPr>
                <w:rFonts w:cstheme="minorHAnsi"/>
              </w:rPr>
              <w:t>Permanent, term time only</w:t>
            </w:r>
          </w:p>
        </w:tc>
      </w:tr>
      <w:tr w:rsidR="00C224AC" w:rsidRPr="00A36587" w14:paraId="557AAD59" w14:textId="77777777" w:rsidTr="00395276">
        <w:tc>
          <w:tcPr>
            <w:tcW w:w="2173" w:type="dxa"/>
            <w:shd w:val="clear" w:color="auto" w:fill="D9D9D9"/>
            <w:tcMar>
              <w:top w:w="0" w:type="dxa"/>
              <w:left w:w="108" w:type="dxa"/>
              <w:bottom w:w="0" w:type="dxa"/>
              <w:right w:w="108" w:type="dxa"/>
            </w:tcMar>
          </w:tcPr>
          <w:p w14:paraId="0FE8B298" w14:textId="77777777" w:rsidR="00C224AC" w:rsidRPr="00A36587" w:rsidRDefault="00C224AC" w:rsidP="00395276">
            <w:pPr>
              <w:rPr>
                <w:rFonts w:cstheme="minorHAnsi"/>
              </w:rPr>
            </w:pPr>
            <w:r w:rsidRPr="00A36587">
              <w:rPr>
                <w:rFonts w:cstheme="minorHAnsi"/>
                <w:b/>
              </w:rPr>
              <w:t>Post to start</w:t>
            </w:r>
          </w:p>
        </w:tc>
        <w:tc>
          <w:tcPr>
            <w:tcW w:w="8363" w:type="dxa"/>
            <w:tcMar>
              <w:top w:w="0" w:type="dxa"/>
              <w:left w:w="108" w:type="dxa"/>
              <w:bottom w:w="0" w:type="dxa"/>
              <w:right w:w="108" w:type="dxa"/>
            </w:tcMar>
          </w:tcPr>
          <w:p w14:paraId="6D183A1F" w14:textId="1E622736" w:rsidR="00C224AC" w:rsidRPr="00A36587" w:rsidRDefault="00C224AC" w:rsidP="00395276">
            <w:pPr>
              <w:rPr>
                <w:rFonts w:cstheme="minorHAnsi"/>
              </w:rPr>
            </w:pPr>
            <w:r w:rsidRPr="00A36587">
              <w:rPr>
                <w:rFonts w:cstheme="minorHAnsi"/>
              </w:rPr>
              <w:t>September 2025</w:t>
            </w:r>
          </w:p>
        </w:tc>
      </w:tr>
      <w:tr w:rsidR="00C224AC" w:rsidRPr="00A36587" w14:paraId="6EBE7D8C" w14:textId="77777777" w:rsidTr="00395276">
        <w:tc>
          <w:tcPr>
            <w:tcW w:w="2173" w:type="dxa"/>
            <w:shd w:val="clear" w:color="auto" w:fill="D9D9D9"/>
            <w:tcMar>
              <w:top w:w="0" w:type="dxa"/>
              <w:left w:w="108" w:type="dxa"/>
              <w:bottom w:w="0" w:type="dxa"/>
              <w:right w:w="108" w:type="dxa"/>
            </w:tcMar>
          </w:tcPr>
          <w:p w14:paraId="5E59135C" w14:textId="77777777" w:rsidR="00C224AC" w:rsidRPr="00A36587" w:rsidRDefault="00C224AC" w:rsidP="00395276">
            <w:pPr>
              <w:rPr>
                <w:rFonts w:cstheme="minorHAnsi"/>
              </w:rPr>
            </w:pPr>
            <w:r w:rsidRPr="00A36587">
              <w:rPr>
                <w:rFonts w:cstheme="minorHAnsi"/>
                <w:b/>
              </w:rPr>
              <w:t xml:space="preserve">Closing date </w:t>
            </w:r>
          </w:p>
        </w:tc>
        <w:tc>
          <w:tcPr>
            <w:tcW w:w="8363" w:type="dxa"/>
            <w:tcMar>
              <w:top w:w="0" w:type="dxa"/>
              <w:left w:w="108" w:type="dxa"/>
              <w:bottom w:w="0" w:type="dxa"/>
              <w:right w:w="108" w:type="dxa"/>
            </w:tcMar>
          </w:tcPr>
          <w:p w14:paraId="1A489D12" w14:textId="10EA8F0C" w:rsidR="00C224AC" w:rsidRPr="00A36587" w:rsidRDefault="00C224AC" w:rsidP="00C224AC">
            <w:pPr>
              <w:rPr>
                <w:rFonts w:cstheme="minorHAnsi"/>
              </w:rPr>
            </w:pPr>
            <w:r w:rsidRPr="00A36587">
              <w:rPr>
                <w:rFonts w:cstheme="minorHAnsi"/>
              </w:rPr>
              <w:t>9:00am, Monday 7</w:t>
            </w:r>
            <w:r w:rsidRPr="00A36587">
              <w:rPr>
                <w:rFonts w:cstheme="minorHAnsi"/>
                <w:vertAlign w:val="superscript"/>
              </w:rPr>
              <w:t>th</w:t>
            </w:r>
            <w:r w:rsidRPr="00A36587">
              <w:rPr>
                <w:rFonts w:cstheme="minorHAnsi"/>
              </w:rPr>
              <w:t xml:space="preserve"> July 2025.</w:t>
            </w:r>
          </w:p>
        </w:tc>
      </w:tr>
    </w:tbl>
    <w:p w14:paraId="1CE3650A" w14:textId="77777777" w:rsidR="00C224AC" w:rsidRPr="00A36587" w:rsidRDefault="00C224AC" w:rsidP="00C224AC">
      <w:pPr>
        <w:rPr>
          <w:rFonts w:cstheme="minorHAnsi"/>
        </w:rPr>
      </w:pPr>
    </w:p>
    <w:tbl>
      <w:tblPr>
        <w:tblW w:w="10536" w:type="dxa"/>
        <w:tblLayout w:type="fixed"/>
        <w:tblLook w:val="0400" w:firstRow="0" w:lastRow="0" w:firstColumn="0" w:lastColumn="0" w:noHBand="0" w:noVBand="1"/>
      </w:tblPr>
      <w:tblGrid>
        <w:gridCol w:w="10536"/>
      </w:tblGrid>
      <w:tr w:rsidR="00C224AC" w:rsidRPr="00A36587" w14:paraId="13665FA3" w14:textId="77777777" w:rsidTr="00395276">
        <w:tc>
          <w:tcPr>
            <w:tcW w:w="10536" w:type="dxa"/>
            <w:tcMar>
              <w:top w:w="0" w:type="dxa"/>
              <w:left w:w="108" w:type="dxa"/>
              <w:bottom w:w="0" w:type="dxa"/>
              <w:right w:w="108" w:type="dxa"/>
            </w:tcMar>
          </w:tcPr>
          <w:p w14:paraId="5AA7E9CD" w14:textId="7D330F1D" w:rsidR="00C224AC" w:rsidRPr="00A36587" w:rsidRDefault="00C224AC" w:rsidP="00395276">
            <w:pPr>
              <w:spacing w:before="120"/>
              <w:rPr>
                <w:rFonts w:cstheme="minorHAnsi"/>
              </w:rPr>
            </w:pPr>
            <w:r w:rsidRPr="00A36587">
              <w:rPr>
                <w:rFonts w:cstheme="minorHAnsi"/>
              </w:rPr>
              <w:t>We are seeking to appoint a self-motivated, reliable individual, with a passion for the learning and development of children to take up the post of Cover Manager at Hyde High School.</w:t>
            </w:r>
          </w:p>
          <w:p w14:paraId="76C14E03" w14:textId="159B7DA7" w:rsidR="00C224AC" w:rsidRPr="00A36587" w:rsidRDefault="00C224AC" w:rsidP="00395276">
            <w:pPr>
              <w:rPr>
                <w:rFonts w:cstheme="minorHAnsi"/>
              </w:rPr>
            </w:pPr>
            <w:r w:rsidRPr="00A36587">
              <w:rPr>
                <w:rFonts w:cstheme="minorHAnsi"/>
              </w:rPr>
              <w:t>As part of our cover management team, you will play an integral role in ensuring that lessons and other staff functions are covered effectively when teachers are absent and record all relevant information accurately. Additionally, the post-holder will provide cover supervision and facilitate learning by proactively supervising students for absent teachers and will support the Administration Team when required.</w:t>
            </w:r>
          </w:p>
          <w:p w14:paraId="70DAC28C" w14:textId="5A2939BA" w:rsidR="00C224AC" w:rsidRPr="00A36587" w:rsidRDefault="00C224AC" w:rsidP="00C224AC">
            <w:pPr>
              <w:rPr>
                <w:rFonts w:cstheme="minorHAnsi"/>
              </w:rPr>
            </w:pPr>
            <w:r w:rsidRPr="00A36587">
              <w:rPr>
                <w:rFonts w:cstheme="minorHAnsi"/>
              </w:rPr>
              <w:t xml:space="preserve">This is a great opportunity for someone with a strong work ethic and a genuine passion for working in the education sector to work alongside teaching and support staff colleagues in support of all of our pupils.  </w:t>
            </w:r>
          </w:p>
        </w:tc>
      </w:tr>
      <w:tr w:rsidR="00C224AC" w:rsidRPr="00A36587" w14:paraId="29FBD994" w14:textId="77777777" w:rsidTr="00395276">
        <w:tc>
          <w:tcPr>
            <w:tcW w:w="10536" w:type="dxa"/>
            <w:tcMar>
              <w:top w:w="0" w:type="dxa"/>
              <w:left w:w="108" w:type="dxa"/>
              <w:bottom w:w="0" w:type="dxa"/>
              <w:right w:w="108" w:type="dxa"/>
            </w:tcMar>
          </w:tcPr>
          <w:p w14:paraId="4890989F" w14:textId="77777777" w:rsidR="00C224AC" w:rsidRPr="00A36587" w:rsidRDefault="00C224AC" w:rsidP="00395276">
            <w:pPr>
              <w:spacing w:before="120"/>
              <w:rPr>
                <w:rFonts w:cstheme="minorHAnsi"/>
              </w:rPr>
            </w:pPr>
            <w:r w:rsidRPr="00A36587">
              <w:rPr>
                <w:rFonts w:cstheme="minorHAnsi"/>
              </w:rPr>
              <w:t xml:space="preserve">5+ A*-C grades at GCSE (or equivalent) including English </w:t>
            </w:r>
            <w:r w:rsidRPr="00A36587">
              <w:rPr>
                <w:rFonts w:cstheme="minorHAnsi"/>
                <w:u w:val="single"/>
              </w:rPr>
              <w:t>and</w:t>
            </w:r>
            <w:r w:rsidRPr="00A36587">
              <w:rPr>
                <w:rFonts w:cstheme="minorHAnsi"/>
              </w:rPr>
              <w:t xml:space="preserve"> maths </w:t>
            </w:r>
            <w:r w:rsidRPr="00A36587">
              <w:rPr>
                <w:rFonts w:cstheme="minorHAnsi"/>
                <w:b/>
              </w:rPr>
              <w:t>essential</w:t>
            </w:r>
            <w:r w:rsidRPr="00A36587">
              <w:rPr>
                <w:rFonts w:cstheme="minorHAnsi"/>
              </w:rPr>
              <w:t>.</w:t>
            </w:r>
          </w:p>
          <w:p w14:paraId="71729C1D" w14:textId="77777777" w:rsidR="00A36587" w:rsidRPr="00A36587" w:rsidRDefault="00A36587" w:rsidP="00A36587">
            <w:pPr>
              <w:rPr>
                <w:rFonts w:eastAsia="Calibri" w:cstheme="minorHAnsi"/>
                <w:b/>
                <w:highlight w:val="white"/>
                <w:u w:val="single"/>
              </w:rPr>
            </w:pPr>
            <w:r w:rsidRPr="00A36587">
              <w:rPr>
                <w:rFonts w:eastAsia="Calibri" w:cstheme="minorHAnsi"/>
                <w:b/>
                <w:highlight w:val="white"/>
                <w:u w:val="single"/>
              </w:rPr>
              <w:t>The Trust</w:t>
            </w:r>
          </w:p>
          <w:p w14:paraId="167DE61E" w14:textId="77777777" w:rsidR="00A36587" w:rsidRPr="00A36587" w:rsidRDefault="00A36587" w:rsidP="00A36587">
            <w:pPr>
              <w:rPr>
                <w:rFonts w:eastAsia="Calibri" w:cstheme="minorHAnsi"/>
                <w:highlight w:val="white"/>
              </w:rPr>
            </w:pPr>
            <w:r w:rsidRPr="00A36587">
              <w:rPr>
                <w:rFonts w:eastAsia="Calibri" w:cstheme="minorHAnsi"/>
                <w:highlight w:val="white"/>
              </w:rPr>
              <w:t xml:space="preserve">The Tame River Educational Trust was founded in January 2022. You can find more information about the Trust at: </w:t>
            </w:r>
            <w:hyperlink r:id="rId10">
              <w:r w:rsidRPr="00A36587">
                <w:rPr>
                  <w:rFonts w:eastAsia="Calibri" w:cstheme="minorHAnsi"/>
                  <w:color w:val="0563C1"/>
                  <w:highlight w:val="white"/>
                  <w:u w:val="single"/>
                </w:rPr>
                <w:t>https://www.tret.org.uk/</w:t>
              </w:r>
            </w:hyperlink>
            <w:r w:rsidRPr="00A36587">
              <w:rPr>
                <w:rFonts w:eastAsia="Calibri" w:cstheme="minorHAnsi"/>
                <w:highlight w:val="white"/>
              </w:rPr>
              <w:t xml:space="preserve"> </w:t>
            </w:r>
          </w:p>
          <w:p w14:paraId="36A12FB1" w14:textId="55DE1607" w:rsidR="00A36587" w:rsidRPr="00A36587" w:rsidRDefault="00A36587" w:rsidP="00A36587">
            <w:pPr>
              <w:pBdr>
                <w:top w:val="nil"/>
                <w:left w:val="nil"/>
                <w:bottom w:val="nil"/>
                <w:right w:val="nil"/>
                <w:between w:val="nil"/>
              </w:pBdr>
              <w:jc w:val="both"/>
              <w:rPr>
                <w:rFonts w:eastAsia="Calibri" w:cstheme="minorHAnsi"/>
                <w:color w:val="000000"/>
              </w:rPr>
            </w:pPr>
            <w:r>
              <w:rPr>
                <w:rFonts w:eastAsia="Calibri" w:cstheme="minorHAnsi"/>
                <w:color w:val="000000"/>
              </w:rPr>
              <w:t>O</w:t>
            </w:r>
            <w:r w:rsidRPr="00A36587">
              <w:rPr>
                <w:rFonts w:eastAsia="Calibri" w:cstheme="minorHAnsi"/>
                <w:color w:val="000000"/>
              </w:rPr>
              <w:t>ur mission is to challenge educational and social disadvantage by hosting a family of great community-based schools in which to learn, teach and belong. Our Trust promotes learning, develops character, values diversity and builds cultural capital.  By the age of 16 we want every student to progress to suitably challenging post-16 studies or apprenticeships.</w:t>
            </w:r>
          </w:p>
          <w:p w14:paraId="60AF5B29" w14:textId="43FFFEC2" w:rsidR="00A36587" w:rsidRDefault="00A36587" w:rsidP="00A36587">
            <w:pPr>
              <w:rPr>
                <w:rFonts w:eastAsia="Calibri" w:cstheme="minorHAnsi"/>
                <w:b/>
                <w:u w:val="single"/>
              </w:rPr>
            </w:pPr>
          </w:p>
          <w:p w14:paraId="4EDD27C0" w14:textId="77777777" w:rsidR="00A36587" w:rsidRPr="00A36587" w:rsidRDefault="00A36587" w:rsidP="00A36587">
            <w:pPr>
              <w:rPr>
                <w:rFonts w:eastAsia="Calibri" w:cstheme="minorHAnsi"/>
                <w:b/>
                <w:u w:val="single"/>
              </w:rPr>
            </w:pPr>
            <w:bookmarkStart w:id="0" w:name="_GoBack"/>
            <w:bookmarkEnd w:id="0"/>
          </w:p>
          <w:p w14:paraId="42492722" w14:textId="77777777" w:rsidR="00A36587" w:rsidRPr="00A36587" w:rsidRDefault="00A36587" w:rsidP="00A36587">
            <w:pPr>
              <w:rPr>
                <w:rFonts w:eastAsia="Calibri" w:cstheme="minorHAnsi"/>
                <w:b/>
                <w:u w:val="single"/>
              </w:rPr>
            </w:pPr>
            <w:r w:rsidRPr="00A36587">
              <w:rPr>
                <w:rFonts w:eastAsia="Calibri" w:cstheme="minorHAnsi"/>
                <w:b/>
                <w:u w:val="single"/>
              </w:rPr>
              <w:lastRenderedPageBreak/>
              <w:t>The School</w:t>
            </w:r>
          </w:p>
          <w:p w14:paraId="0B6F2B21" w14:textId="77777777" w:rsidR="00A36587" w:rsidRPr="00A36587" w:rsidRDefault="00A36587" w:rsidP="00A36587">
            <w:pPr>
              <w:rPr>
                <w:rFonts w:eastAsia="Calibri" w:cstheme="minorHAnsi"/>
                <w:b/>
              </w:rPr>
            </w:pPr>
          </w:p>
          <w:p w14:paraId="42D65A6B" w14:textId="77777777" w:rsidR="00A36587" w:rsidRPr="00A36587" w:rsidRDefault="00A36587" w:rsidP="00A36587">
            <w:pPr>
              <w:spacing w:line="259" w:lineRule="auto"/>
              <w:rPr>
                <w:rFonts w:eastAsia="Calibri" w:cstheme="minorHAnsi"/>
                <w:color w:val="000000"/>
              </w:rPr>
            </w:pPr>
            <w:r w:rsidRPr="00A36587">
              <w:rPr>
                <w:rFonts w:eastAsia="Calibri" w:cstheme="minorHAnsi"/>
                <w:color w:val="000000"/>
              </w:rPr>
              <w:t>Hyde High School is an inclusive, friendly school which became a member of the Tame River Educational Trust (TRET) on 1</w:t>
            </w:r>
            <w:r w:rsidRPr="00A36587">
              <w:rPr>
                <w:rFonts w:eastAsia="Calibri" w:cstheme="minorHAnsi"/>
                <w:color w:val="000000"/>
                <w:vertAlign w:val="superscript"/>
              </w:rPr>
              <w:t>st</w:t>
            </w:r>
            <w:r w:rsidRPr="00A36587">
              <w:rPr>
                <w:rFonts w:eastAsia="Calibri" w:cstheme="minorHAnsi"/>
                <w:color w:val="000000"/>
              </w:rPr>
              <w:t xml:space="preserve"> April 2025.  This is an exciting time for the school and its students, staff and governors.</w:t>
            </w:r>
          </w:p>
          <w:p w14:paraId="34579503" w14:textId="77777777" w:rsidR="00A36587" w:rsidRPr="00A36587" w:rsidRDefault="00A36587" w:rsidP="00A36587">
            <w:pPr>
              <w:spacing w:line="259" w:lineRule="auto"/>
              <w:rPr>
                <w:rFonts w:eastAsia="Calibri" w:cstheme="minorHAnsi"/>
                <w:color w:val="000000"/>
              </w:rPr>
            </w:pPr>
          </w:p>
          <w:p w14:paraId="1EFC5B46" w14:textId="77777777" w:rsidR="00A36587" w:rsidRPr="00A36587" w:rsidRDefault="00A36587" w:rsidP="00A36587">
            <w:pPr>
              <w:rPr>
                <w:rFonts w:eastAsia="Calibri" w:cstheme="minorHAnsi"/>
                <w:b/>
                <w:i/>
              </w:rPr>
            </w:pPr>
            <w:r w:rsidRPr="00A36587">
              <w:rPr>
                <w:rFonts w:eastAsia="Calibri" w:cstheme="minorHAnsi"/>
                <w:b/>
                <w:i/>
              </w:rPr>
              <w:t>Tame River Educational Trust and its schools are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w:t>
            </w:r>
          </w:p>
          <w:p w14:paraId="52465556" w14:textId="77777777" w:rsidR="00A36587" w:rsidRPr="00A36587" w:rsidRDefault="00A36587" w:rsidP="00A36587">
            <w:pPr>
              <w:rPr>
                <w:rFonts w:eastAsia="Calibri" w:cstheme="minorHAnsi"/>
                <w:b/>
                <w:i/>
              </w:rPr>
            </w:pPr>
            <w:r w:rsidRPr="00A36587">
              <w:rPr>
                <w:rFonts w:eastAsia="Calibri" w:cstheme="minorHAnsi"/>
                <w:b/>
                <w:i/>
              </w:rPr>
              <w:t xml:space="preserve">It is an offence to apply for this role if you have been barred from engaging in regulated activity relevant to children. </w:t>
            </w:r>
          </w:p>
          <w:p w14:paraId="34ED4EC3" w14:textId="77777777" w:rsidR="00A36587" w:rsidRPr="00A36587" w:rsidRDefault="00A36587" w:rsidP="00A36587">
            <w:pPr>
              <w:rPr>
                <w:rFonts w:eastAsia="Calibri" w:cstheme="minorHAnsi"/>
                <w:b/>
                <w:i/>
              </w:rPr>
            </w:pPr>
            <w:r w:rsidRPr="00A36587">
              <w:rPr>
                <w:rFonts w:eastAsia="Calibri" w:cstheme="minorHAnsi"/>
                <w:b/>
                <w:i/>
              </w:rPr>
              <w:t>We are an equal opportunities employer.  It is our policy to employ the best qualified personnel and we are committed to providing equal opportunity in recruitment and employment to all individuals who meet our criteria for the role advertised.  We will consider candidates without regard to race, ethnicity, gender, religion, sexual orientation and identity, national origin, age, military or veteran status, disability, or any other legally protected status. This list is not exhaustive, and candidates will also be considered without discrimination based on socioeconomic, marital, parental or caregiving status, or any of the previously listed characteristics or statuses.</w:t>
            </w:r>
          </w:p>
          <w:p w14:paraId="28184E82" w14:textId="77777777" w:rsidR="00A36587" w:rsidRPr="00A36587" w:rsidRDefault="00A36587" w:rsidP="00A36587">
            <w:pPr>
              <w:rPr>
                <w:rFonts w:eastAsia="Calibri" w:cstheme="minorHAnsi"/>
                <w:b/>
                <w:i/>
              </w:rPr>
            </w:pPr>
            <w:r w:rsidRPr="00A36587">
              <w:rPr>
                <w:rFonts w:eastAsia="Calibri" w:cstheme="minorHAnsi"/>
                <w:b/>
                <w:i/>
              </w:rPr>
              <w:t>We value the diversity of our staff and do not tolerate any form of harassment, discrimination, or victimisation. We achieve this by creating and maintaining a work environment and culture where people from different backgrounds, and with varying lifestyles, interests, opinions, and responsibilities, treat each other with dignity and respect. Our working environment is such that our staff feel safe and are inspired and motivated to be their best.</w:t>
            </w:r>
          </w:p>
          <w:p w14:paraId="609EC247" w14:textId="77777777" w:rsidR="00A36587" w:rsidRPr="00A36587" w:rsidRDefault="00A36587" w:rsidP="00A36587">
            <w:pPr>
              <w:rPr>
                <w:rFonts w:eastAsia="Calibri" w:cstheme="minorHAnsi"/>
                <w:b/>
                <w:i/>
              </w:rPr>
            </w:pPr>
            <w:r w:rsidRPr="00A36587">
              <w:rPr>
                <w:rFonts w:eastAsia="Calibri" w:cstheme="minorHAnsi"/>
                <w:b/>
                <w:i/>
              </w:rPr>
              <w:t>The Trust and its schools are dedicated to sustaining and promoting diversity with respect to recruitment, promotion, training, and general treatment during employment. We are actively seeking to extend the diversity of our staff.</w:t>
            </w:r>
          </w:p>
          <w:p w14:paraId="596F9D8C" w14:textId="7A98876F" w:rsidR="00A36587" w:rsidRPr="00A36587" w:rsidRDefault="00A36587" w:rsidP="00395276">
            <w:pPr>
              <w:spacing w:before="120"/>
              <w:rPr>
                <w:rFonts w:cstheme="minorHAnsi"/>
              </w:rPr>
            </w:pPr>
          </w:p>
        </w:tc>
      </w:tr>
      <w:tr w:rsidR="00C224AC" w:rsidRPr="00A36587" w14:paraId="470C27BC" w14:textId="77777777" w:rsidTr="00395276">
        <w:tc>
          <w:tcPr>
            <w:tcW w:w="10536" w:type="dxa"/>
            <w:tcMar>
              <w:top w:w="0" w:type="dxa"/>
              <w:left w:w="108" w:type="dxa"/>
              <w:bottom w:w="0" w:type="dxa"/>
              <w:right w:w="108" w:type="dxa"/>
            </w:tcMar>
          </w:tcPr>
          <w:p w14:paraId="3DD6D4D0" w14:textId="77777777" w:rsidR="00C224AC" w:rsidRPr="00A36587" w:rsidRDefault="00C224AC" w:rsidP="00395276">
            <w:pPr>
              <w:spacing w:before="120"/>
              <w:rPr>
                <w:rFonts w:cstheme="minorHAnsi"/>
              </w:rPr>
            </w:pPr>
            <w:r w:rsidRPr="00A36587">
              <w:rPr>
                <w:rFonts w:cstheme="minorHAnsi"/>
              </w:rPr>
              <w:lastRenderedPageBreak/>
              <w:t>Please include within your application a supporting statement explaining how your experience and qualifications meet the person specification for this role.</w:t>
            </w:r>
          </w:p>
          <w:p w14:paraId="75AF056D" w14:textId="77777777" w:rsidR="00C224AC" w:rsidRPr="00A36587" w:rsidRDefault="00C224AC" w:rsidP="00395276">
            <w:pPr>
              <w:spacing w:before="120"/>
              <w:rPr>
                <w:rFonts w:cstheme="minorHAnsi"/>
                <w:b/>
              </w:rPr>
            </w:pPr>
            <w:r w:rsidRPr="00A36587">
              <w:rPr>
                <w:rFonts w:cstheme="minorHAnsi"/>
                <w:b/>
              </w:rPr>
              <w:t>Please note – CVs are NOT accepted.</w:t>
            </w:r>
          </w:p>
          <w:p w14:paraId="56702CF1" w14:textId="7F51CD0E" w:rsidR="00C224AC" w:rsidRPr="00A36587" w:rsidRDefault="00C224AC" w:rsidP="00395276">
            <w:pPr>
              <w:spacing w:before="120"/>
              <w:rPr>
                <w:rFonts w:cstheme="minorHAnsi"/>
              </w:rPr>
            </w:pPr>
            <w:bookmarkStart w:id="1" w:name="_heading=h.gjdgxs" w:colFirst="0" w:colLast="0"/>
            <w:bookmarkEnd w:id="1"/>
            <w:r w:rsidRPr="00A36587">
              <w:rPr>
                <w:rFonts w:cstheme="minorHAnsi"/>
                <w:b/>
              </w:rPr>
              <w:t xml:space="preserve">Closing date: </w:t>
            </w:r>
            <w:r w:rsidRPr="00A36587">
              <w:rPr>
                <w:rFonts w:cstheme="minorHAnsi"/>
              </w:rPr>
              <w:t>9:00am, Monday 7</w:t>
            </w:r>
            <w:r w:rsidRPr="00A36587">
              <w:rPr>
                <w:rFonts w:cstheme="minorHAnsi"/>
                <w:vertAlign w:val="superscript"/>
              </w:rPr>
              <w:t>th</w:t>
            </w:r>
            <w:r w:rsidRPr="00A36587">
              <w:rPr>
                <w:rFonts w:cstheme="minorHAnsi"/>
              </w:rPr>
              <w:t xml:space="preserve"> July 2025</w:t>
            </w:r>
          </w:p>
          <w:p w14:paraId="28790D9E" w14:textId="28E7850E" w:rsidR="00C224AC" w:rsidRPr="00A36587" w:rsidRDefault="00C224AC" w:rsidP="00C224AC">
            <w:pPr>
              <w:spacing w:before="120"/>
              <w:rPr>
                <w:rFonts w:cstheme="minorHAnsi"/>
              </w:rPr>
            </w:pPr>
            <w:r w:rsidRPr="00A36587">
              <w:rPr>
                <w:rFonts w:cstheme="minorHAnsi"/>
              </w:rPr>
              <w:t>Applications forms must be emailed to </w:t>
            </w:r>
            <w:hyperlink r:id="rId11" w:history="1">
              <w:r w:rsidRPr="00A36587">
                <w:rPr>
                  <w:rStyle w:val="Hyperlink"/>
                  <w:rFonts w:cstheme="minorHAnsi"/>
                </w:rPr>
                <w:t>HR@Hydehighschool.uk</w:t>
              </w:r>
            </w:hyperlink>
            <w:r w:rsidRPr="00A36587">
              <w:rPr>
                <w:rFonts w:cstheme="minorHAnsi"/>
              </w:rPr>
              <w:t xml:space="preserve"> </w:t>
            </w:r>
            <w:r w:rsidRPr="00A36587">
              <w:rPr>
                <w:rFonts w:cstheme="minorHAnsi"/>
                <w:b/>
              </w:rPr>
              <w:t xml:space="preserve"> </w:t>
            </w:r>
          </w:p>
        </w:tc>
      </w:tr>
      <w:tr w:rsidR="00C224AC" w:rsidRPr="00A36587" w14:paraId="6C71C385" w14:textId="77777777" w:rsidTr="00395276">
        <w:tc>
          <w:tcPr>
            <w:tcW w:w="10536" w:type="dxa"/>
            <w:tcMar>
              <w:top w:w="0" w:type="dxa"/>
              <w:left w:w="108" w:type="dxa"/>
              <w:bottom w:w="0" w:type="dxa"/>
              <w:right w:w="108" w:type="dxa"/>
            </w:tcMar>
          </w:tcPr>
          <w:p w14:paraId="385D401F" w14:textId="77777777" w:rsidR="00C224AC" w:rsidRPr="00A36587" w:rsidRDefault="00C224AC" w:rsidP="00395276">
            <w:pPr>
              <w:spacing w:before="120"/>
              <w:rPr>
                <w:rFonts w:cstheme="minorHAnsi"/>
              </w:rPr>
            </w:pPr>
            <w:r w:rsidRPr="00A36587">
              <w:rPr>
                <w:rFonts w:cstheme="minorHAnsi"/>
              </w:rPr>
              <w:t>For more information please click on the links below for the Job Description, Person Specification and Application Form.</w:t>
            </w:r>
          </w:p>
        </w:tc>
      </w:tr>
      <w:tr w:rsidR="00C224AC" w:rsidRPr="00A36587" w14:paraId="75DA31E9" w14:textId="77777777" w:rsidTr="00395276">
        <w:tc>
          <w:tcPr>
            <w:tcW w:w="10536" w:type="dxa"/>
            <w:tcMar>
              <w:top w:w="0" w:type="dxa"/>
              <w:left w:w="108" w:type="dxa"/>
              <w:bottom w:w="0" w:type="dxa"/>
              <w:right w:w="108" w:type="dxa"/>
            </w:tcMar>
          </w:tcPr>
          <w:p w14:paraId="6366B27C" w14:textId="77777777" w:rsidR="00C224AC" w:rsidRPr="00A36587" w:rsidRDefault="00C224AC" w:rsidP="00395276">
            <w:pPr>
              <w:spacing w:before="120"/>
              <w:rPr>
                <w:rFonts w:cstheme="minorHAnsi"/>
              </w:rPr>
            </w:pPr>
            <w:r w:rsidRPr="00A36587">
              <w:rPr>
                <w:rFonts w:cstheme="minorHAnsi"/>
                <w:b/>
              </w:rPr>
              <w:lastRenderedPageBreak/>
              <w:t>Hyde High School is committed to safeguarding and promoting the wellbeing of all children, and expects our staff and volunteers to share this commitment.</w:t>
            </w:r>
            <w:r w:rsidRPr="00A36587">
              <w:rPr>
                <w:rFonts w:cstheme="minorHAnsi"/>
                <w:b/>
                <w:i/>
              </w:rPr>
              <w:t xml:space="preserve"> </w:t>
            </w:r>
            <w:r w:rsidRPr="00A36587">
              <w:rPr>
                <w:rFonts w:cstheme="minorHAnsi"/>
                <w:b/>
              </w:rPr>
              <w:t>The successful applicant will be subject to an enhanced DBS check.</w:t>
            </w:r>
          </w:p>
        </w:tc>
      </w:tr>
    </w:tbl>
    <w:p w14:paraId="1F5A8654" w14:textId="77777777" w:rsidR="00E50A9F" w:rsidRPr="00E50A9F" w:rsidRDefault="00E50A9F" w:rsidP="00E50A9F">
      <w:pPr>
        <w:spacing w:after="0" w:line="240" w:lineRule="auto"/>
        <w:rPr>
          <w:rFonts w:ascii="Calibri" w:eastAsia="Times New Roman" w:hAnsi="Calibri" w:cs="Calibri"/>
          <w:iCs/>
          <w:color w:val="222222"/>
          <w:szCs w:val="20"/>
          <w:lang w:eastAsia="en-GB"/>
        </w:rPr>
      </w:pPr>
    </w:p>
    <w:sectPr w:rsidR="00E50A9F" w:rsidRPr="00E50A9F" w:rsidSect="00276C06">
      <w:headerReference w:type="even" r:id="rId12"/>
      <w:headerReference w:type="default" r:id="rId13"/>
      <w:footerReference w:type="even" r:id="rId14"/>
      <w:footerReference w:type="default" r:id="rId15"/>
      <w:headerReference w:type="first" r:id="rId16"/>
      <w:footerReference w:type="first" r:id="rId17"/>
      <w:pgSz w:w="11906" w:h="16838"/>
      <w:pgMar w:top="1134" w:right="720" w:bottom="1134" w:left="720" w:header="34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2AF52" w14:textId="77777777" w:rsidR="00D46C3B" w:rsidRDefault="00D46C3B" w:rsidP="00C6595C">
      <w:pPr>
        <w:spacing w:after="0" w:line="240" w:lineRule="auto"/>
      </w:pPr>
      <w:r>
        <w:separator/>
      </w:r>
    </w:p>
  </w:endnote>
  <w:endnote w:type="continuationSeparator" w:id="0">
    <w:p w14:paraId="6D046633" w14:textId="77777777" w:rsidR="00D46C3B" w:rsidRDefault="00D46C3B" w:rsidP="00C65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14E7F" w14:textId="77777777" w:rsidR="00291705" w:rsidRDefault="00291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5034B" w14:textId="77777777" w:rsidR="00291705" w:rsidRDefault="00291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49DB" w14:textId="5DC77226" w:rsidR="005C591E" w:rsidRDefault="00D854C5">
    <w:pPr>
      <w:pStyle w:val="Footer"/>
    </w:pPr>
    <w:r>
      <w:rPr>
        <w:noProof/>
        <w:lang w:eastAsia="en-GB"/>
      </w:rPr>
      <w:drawing>
        <wp:inline distT="0" distB="0" distL="0" distR="0" wp14:anchorId="47731676" wp14:editId="074F2CD9">
          <wp:extent cx="6639633" cy="595629"/>
          <wp:effectExtent l="0" t="0" r="0" b="0"/>
          <wp:docPr id="5692529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52925"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639633" cy="5956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65F18" w14:textId="77777777" w:rsidR="00D46C3B" w:rsidRDefault="00D46C3B" w:rsidP="00C6595C">
      <w:pPr>
        <w:spacing w:after="0" w:line="240" w:lineRule="auto"/>
      </w:pPr>
      <w:r>
        <w:separator/>
      </w:r>
    </w:p>
  </w:footnote>
  <w:footnote w:type="continuationSeparator" w:id="0">
    <w:p w14:paraId="7D91A219" w14:textId="77777777" w:rsidR="00D46C3B" w:rsidRDefault="00D46C3B" w:rsidP="00C65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12E41" w14:textId="2BB6975E" w:rsidR="00CF39D5" w:rsidRDefault="00D46C3B">
    <w:pPr>
      <w:pStyle w:val="Header"/>
    </w:pPr>
    <w:r>
      <w:rPr>
        <w:noProof/>
      </w:rPr>
      <w:pict w14:anchorId="16D9C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179001" o:spid="_x0000_s2071" type="#_x0000_t75" style="position:absolute;margin-left:0;margin-top:0;width:595.15pt;height:841.85pt;z-index:-251654144;mso-position-horizontal:center;mso-position-horizontal-relative:margin;mso-position-vertical:center;mso-position-vertical-relative:margin" o:allowincell="f">
          <v:imagedata r:id="rId1" o:title="watermark_n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4371B" w14:textId="3B5028F7" w:rsidR="00CF39D5" w:rsidRDefault="00D46C3B">
    <w:pPr>
      <w:pStyle w:val="Header"/>
    </w:pPr>
    <w:r>
      <w:rPr>
        <w:noProof/>
      </w:rPr>
      <w:pict w14:anchorId="0D405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179002" o:spid="_x0000_s2072" type="#_x0000_t75" style="position:absolute;margin-left:0;margin-top:0;width:595.15pt;height:841.85pt;z-index:-251653120;mso-position-horizontal:center;mso-position-horizontal-relative:margin;mso-position-vertical:center;mso-position-vertical-relative:margin" o:allowincell="f">
          <v:imagedata r:id="rId1" o:title="watermark_n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96041" w14:textId="52F26708" w:rsidR="00916723" w:rsidRDefault="00131C36">
    <w:pPr>
      <w:pStyle w:val="Header"/>
    </w:pPr>
    <w:r>
      <w:rPr>
        <w:noProof/>
        <w:lang w:eastAsia="en-GB"/>
      </w:rPr>
      <mc:AlternateContent>
        <mc:Choice Requires="wps">
          <w:drawing>
            <wp:anchor distT="0" distB="0" distL="114300" distR="114300" simplePos="0" relativeHeight="251660288" behindDoc="0" locked="0" layoutInCell="1" allowOverlap="1" wp14:anchorId="16A8FC52" wp14:editId="63FD5FFD">
              <wp:simplePos x="0" y="0"/>
              <wp:positionH relativeFrom="column">
                <wp:posOffset>-228600</wp:posOffset>
              </wp:positionH>
              <wp:positionV relativeFrom="paragraph">
                <wp:posOffset>711200</wp:posOffset>
              </wp:positionV>
              <wp:extent cx="2338070" cy="1219200"/>
              <wp:effectExtent l="0" t="0" r="0" b="0"/>
              <wp:wrapNone/>
              <wp:docPr id="864167737" name="Text Box 4"/>
              <wp:cNvGraphicFramePr/>
              <a:graphic xmlns:a="http://schemas.openxmlformats.org/drawingml/2006/main">
                <a:graphicData uri="http://schemas.microsoft.com/office/word/2010/wordprocessingShape">
                  <wps:wsp>
                    <wps:cNvSpPr txBox="1"/>
                    <wps:spPr>
                      <a:xfrm>
                        <a:off x="0" y="0"/>
                        <a:ext cx="2338070" cy="1219200"/>
                      </a:xfrm>
                      <a:prstGeom prst="rect">
                        <a:avLst/>
                      </a:prstGeom>
                      <a:noFill/>
                      <a:ln w="6350">
                        <a:noFill/>
                      </a:ln>
                    </wps:spPr>
                    <wps:txbx>
                      <w:txbxContent>
                        <w:p w14:paraId="14B3C60E" w14:textId="43ED644B" w:rsidR="005C591E" w:rsidRDefault="005C591E">
                          <w:r>
                            <w:rPr>
                              <w:noProof/>
                              <w:lang w:eastAsia="en-GB"/>
                            </w:rPr>
                            <w:drawing>
                              <wp:inline distT="0" distB="0" distL="0" distR="0" wp14:anchorId="052D62B2" wp14:editId="4900C541">
                                <wp:extent cx="2163171" cy="775335"/>
                                <wp:effectExtent l="0" t="0" r="8890" b="5715"/>
                                <wp:docPr id="1797825655" name="Picture 6"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69935" name="Picture 6" descr="A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66226" cy="7764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8FC52" id="_x0000_t202" coordsize="21600,21600" o:spt="202" path="m,l,21600r21600,l21600,xe">
              <v:stroke joinstyle="miter"/>
              <v:path gradientshapeok="t" o:connecttype="rect"/>
            </v:shapetype>
            <v:shape id="Text Box 4" o:spid="_x0000_s1026" type="#_x0000_t202" style="position:absolute;margin-left:-18pt;margin-top:56pt;width:184.1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" filled="f" stroked="f" strokeweight=".5pt">
              <v:textbox>
                <w:txbxContent>
                  <w:p w14:paraId="14B3C60E" w14:textId="43ED644B" w:rsidR="005C591E" w:rsidRDefault="005C591E">
                    <w:r>
                      <w:rPr>
                        <w:noProof/>
                        <w:lang w:eastAsia="en-GB"/>
                      </w:rPr>
                      <w:drawing>
                        <wp:inline distT="0" distB="0" distL="0" distR="0" wp14:anchorId="052D62B2" wp14:editId="4900C541">
                          <wp:extent cx="2163171" cy="775335"/>
                          <wp:effectExtent l="0" t="0" r="8890" b="5715"/>
                          <wp:docPr id="1797825655" name="Picture 6"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69935" name="Picture 6" descr="A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66226" cy="776430"/>
                                  </a:xfrm>
                                  <a:prstGeom prst="rect">
                                    <a:avLst/>
                                  </a:prstGeom>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A325EA0" wp14:editId="799F2235">
              <wp:simplePos x="0" y="0"/>
              <wp:positionH relativeFrom="column">
                <wp:posOffset>5067300</wp:posOffset>
              </wp:positionH>
              <wp:positionV relativeFrom="paragraph">
                <wp:posOffset>330200</wp:posOffset>
              </wp:positionV>
              <wp:extent cx="2247900" cy="2209800"/>
              <wp:effectExtent l="0" t="0" r="0" b="0"/>
              <wp:wrapNone/>
              <wp:docPr id="863113370" name="Text Box 1"/>
              <wp:cNvGraphicFramePr/>
              <a:graphic xmlns:a="http://schemas.openxmlformats.org/drawingml/2006/main">
                <a:graphicData uri="http://schemas.microsoft.com/office/word/2010/wordprocessingShape">
                  <wps:wsp>
                    <wps:cNvSpPr txBox="1"/>
                    <wps:spPr>
                      <a:xfrm>
                        <a:off x="0" y="0"/>
                        <a:ext cx="2247900" cy="2209800"/>
                      </a:xfrm>
                      <a:prstGeom prst="rect">
                        <a:avLst/>
                      </a:prstGeom>
                      <a:noFill/>
                      <a:ln w="6350">
                        <a:noFill/>
                      </a:ln>
                    </wps:spPr>
                    <wps:txbx>
                      <w:txbxContent>
                        <w:p w14:paraId="2754196D" w14:textId="0979C1D8" w:rsidR="005C591E" w:rsidRDefault="005C591E">
                          <w:r>
                            <w:rPr>
                              <w:noProof/>
                              <w:lang w:eastAsia="en-GB"/>
                            </w:rPr>
                            <w:drawing>
                              <wp:inline distT="0" distB="0" distL="0" distR="0" wp14:anchorId="1F0E3012" wp14:editId="76B5FE1E">
                                <wp:extent cx="1493520" cy="1680210"/>
                                <wp:effectExtent l="0" t="0" r="0" b="0"/>
                                <wp:docPr id="546575356" name="Picture 3" descr="A blue and white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8750" name="Picture 3" descr="A blue and white coat of arm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493520" cy="16802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25EA0" id="Text Box 1" o:spid="_x0000_s1027" type="#_x0000_t202" style="position:absolute;margin-left:399pt;margin-top:26pt;width:177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" filled="f" stroked="f" strokeweight=".5pt">
              <v:textbox>
                <w:txbxContent>
                  <w:p w14:paraId="2754196D" w14:textId="0979C1D8" w:rsidR="005C591E" w:rsidRDefault="005C591E">
                    <w:r>
                      <w:rPr>
                        <w:noProof/>
                        <w:lang w:eastAsia="en-GB"/>
                      </w:rPr>
                      <w:drawing>
                        <wp:inline distT="0" distB="0" distL="0" distR="0" wp14:anchorId="1F0E3012" wp14:editId="76B5FE1E">
                          <wp:extent cx="1493520" cy="1680210"/>
                          <wp:effectExtent l="0" t="0" r="0" b="0"/>
                          <wp:docPr id="546575356" name="Picture 3" descr="A blue and white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8750" name="Picture 3" descr="A blue and white coat of arm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493520" cy="1680210"/>
                                  </a:xfrm>
                                  <a:prstGeom prst="rect">
                                    <a:avLst/>
                                  </a:prstGeom>
                                </pic:spPr>
                              </pic:pic>
                            </a:graphicData>
                          </a:graphic>
                        </wp:inline>
                      </w:drawing>
                    </w:r>
                  </w:p>
                </w:txbxContent>
              </v:textbox>
            </v:shape>
          </w:pict>
        </mc:Fallback>
      </mc:AlternateContent>
    </w:r>
    <w:r w:rsidR="00D46C3B">
      <w:rPr>
        <w:noProof/>
        <w:lang w:eastAsia="en-GB"/>
      </w:rPr>
      <w:pict w14:anchorId="3627B0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179000" o:spid="_x0000_s2070" type="#_x0000_t75" style="position:absolute;margin-left:0;margin-top:0;width:595.15pt;height:841.85pt;z-index:-251655168;mso-position-horizontal:center;mso-position-horizontal-relative:margin;mso-position-vertical:center;mso-position-vertical-relative:margin" o:allowincell="f">
          <v:imagedata r:id="rId3" o:title="watermark_n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95C"/>
    <w:rsid w:val="00010089"/>
    <w:rsid w:val="0006540D"/>
    <w:rsid w:val="0008445E"/>
    <w:rsid w:val="000923CE"/>
    <w:rsid w:val="000C7AB5"/>
    <w:rsid w:val="000D4720"/>
    <w:rsid w:val="000F0C71"/>
    <w:rsid w:val="000F6D7E"/>
    <w:rsid w:val="00131C36"/>
    <w:rsid w:val="00166BAB"/>
    <w:rsid w:val="001865DD"/>
    <w:rsid w:val="00196251"/>
    <w:rsid w:val="001A07CB"/>
    <w:rsid w:val="001D09F0"/>
    <w:rsid w:val="00216C44"/>
    <w:rsid w:val="0025100E"/>
    <w:rsid w:val="00276C06"/>
    <w:rsid w:val="00291705"/>
    <w:rsid w:val="002F7BC4"/>
    <w:rsid w:val="00354D8D"/>
    <w:rsid w:val="00376C8F"/>
    <w:rsid w:val="003A0AC3"/>
    <w:rsid w:val="003A38BC"/>
    <w:rsid w:val="003C0AF9"/>
    <w:rsid w:val="003D5BA0"/>
    <w:rsid w:val="003D7483"/>
    <w:rsid w:val="00411A3E"/>
    <w:rsid w:val="00430AB2"/>
    <w:rsid w:val="004766AE"/>
    <w:rsid w:val="00495FBF"/>
    <w:rsid w:val="004C2CE5"/>
    <w:rsid w:val="004D0F24"/>
    <w:rsid w:val="004F2C32"/>
    <w:rsid w:val="00555E0F"/>
    <w:rsid w:val="0056329B"/>
    <w:rsid w:val="0056568F"/>
    <w:rsid w:val="0058646F"/>
    <w:rsid w:val="005B33E9"/>
    <w:rsid w:val="005B424C"/>
    <w:rsid w:val="005C591E"/>
    <w:rsid w:val="005F66AA"/>
    <w:rsid w:val="006213AB"/>
    <w:rsid w:val="00624BC3"/>
    <w:rsid w:val="006311AD"/>
    <w:rsid w:val="006D2225"/>
    <w:rsid w:val="006D6F93"/>
    <w:rsid w:val="00700436"/>
    <w:rsid w:val="00717611"/>
    <w:rsid w:val="008A36B9"/>
    <w:rsid w:val="008E6C23"/>
    <w:rsid w:val="0091532B"/>
    <w:rsid w:val="00916723"/>
    <w:rsid w:val="00931698"/>
    <w:rsid w:val="00937264"/>
    <w:rsid w:val="0096094D"/>
    <w:rsid w:val="00972526"/>
    <w:rsid w:val="009A5F2E"/>
    <w:rsid w:val="009D4E2D"/>
    <w:rsid w:val="009E35A3"/>
    <w:rsid w:val="00A36587"/>
    <w:rsid w:val="00AA0C3B"/>
    <w:rsid w:val="00AA74D3"/>
    <w:rsid w:val="00AB4218"/>
    <w:rsid w:val="00AD429C"/>
    <w:rsid w:val="00AE2DC1"/>
    <w:rsid w:val="00B10288"/>
    <w:rsid w:val="00B225F8"/>
    <w:rsid w:val="00BB3CB6"/>
    <w:rsid w:val="00BB7E23"/>
    <w:rsid w:val="00C003E2"/>
    <w:rsid w:val="00C224AC"/>
    <w:rsid w:val="00C238EB"/>
    <w:rsid w:val="00C26A99"/>
    <w:rsid w:val="00C6595C"/>
    <w:rsid w:val="00C9004E"/>
    <w:rsid w:val="00CC39E5"/>
    <w:rsid w:val="00CF39D5"/>
    <w:rsid w:val="00D103B8"/>
    <w:rsid w:val="00D46C3B"/>
    <w:rsid w:val="00D854C5"/>
    <w:rsid w:val="00DE1B32"/>
    <w:rsid w:val="00E43ABE"/>
    <w:rsid w:val="00E4539F"/>
    <w:rsid w:val="00E50A9F"/>
    <w:rsid w:val="00E930D4"/>
    <w:rsid w:val="00EB5574"/>
    <w:rsid w:val="00EB75B5"/>
    <w:rsid w:val="00EF40C2"/>
    <w:rsid w:val="00FE2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70568DA1"/>
  <w15:chartTrackingRefBased/>
  <w15:docId w15:val="{9A1AB632-27AC-4FA1-B369-91A4AAB1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95C"/>
  </w:style>
  <w:style w:type="paragraph" w:styleId="Footer">
    <w:name w:val="footer"/>
    <w:basedOn w:val="Normal"/>
    <w:link w:val="FooterChar"/>
    <w:uiPriority w:val="99"/>
    <w:unhideWhenUsed/>
    <w:rsid w:val="00C65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95C"/>
  </w:style>
  <w:style w:type="paragraph" w:styleId="BalloonText">
    <w:name w:val="Balloon Text"/>
    <w:basedOn w:val="Normal"/>
    <w:link w:val="BalloonTextChar"/>
    <w:uiPriority w:val="99"/>
    <w:semiHidden/>
    <w:unhideWhenUsed/>
    <w:rsid w:val="00C65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95C"/>
    <w:rPr>
      <w:rFonts w:ascii="Segoe UI" w:hAnsi="Segoe UI" w:cs="Segoe UI"/>
      <w:sz w:val="18"/>
      <w:szCs w:val="18"/>
    </w:rPr>
  </w:style>
  <w:style w:type="character" w:styleId="Hyperlink">
    <w:name w:val="Hyperlink"/>
    <w:basedOn w:val="DefaultParagraphFont"/>
    <w:uiPriority w:val="99"/>
    <w:unhideWhenUsed/>
    <w:rsid w:val="00C224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Hydehighschool.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tret.org.uk/"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ccc9dbd-4425-469e-8d8e-6c926efd5c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7D38A0013F70449DF54F602F60B37C" ma:contentTypeVersion="15" ma:contentTypeDescription="Create a new document." ma:contentTypeScope="" ma:versionID="a82d9741c84753034eb0912b679937fc">
  <xsd:schema xmlns:xsd="http://www.w3.org/2001/XMLSchema" xmlns:xs="http://www.w3.org/2001/XMLSchema" xmlns:p="http://schemas.microsoft.com/office/2006/metadata/properties" xmlns:ns3="9ccc9dbd-4425-469e-8d8e-6c926efd5c9f" xmlns:ns4="3e6fda42-6ce7-40ed-96c7-95eb2e7434c9" targetNamespace="http://schemas.microsoft.com/office/2006/metadata/properties" ma:root="true" ma:fieldsID="4770b6dfa332e83c0f9b7c2e3aa8244d" ns3:_="" ns4:_="">
    <xsd:import namespace="9ccc9dbd-4425-469e-8d8e-6c926efd5c9f"/>
    <xsd:import namespace="3e6fda42-6ce7-40ed-96c7-95eb2e7434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c9dbd-4425-469e-8d8e-6c926efd5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fda42-6ce7-40ed-96c7-95eb2e7434c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4D1F4-0682-4603-A5F2-9EC37F1D9551}">
  <ds:schemaRefs>
    <ds:schemaRef ds:uri="http://schemas.microsoft.com/office/2006/metadata/properties"/>
    <ds:schemaRef ds:uri="http://schemas.microsoft.com/office/infopath/2007/PartnerControls"/>
    <ds:schemaRef ds:uri="9ccc9dbd-4425-469e-8d8e-6c926efd5c9f"/>
  </ds:schemaRefs>
</ds:datastoreItem>
</file>

<file path=customXml/itemProps2.xml><?xml version="1.0" encoding="utf-8"?>
<ds:datastoreItem xmlns:ds="http://schemas.openxmlformats.org/officeDocument/2006/customXml" ds:itemID="{1664C1AD-F9D2-41A0-AC3F-49A849050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c9dbd-4425-469e-8d8e-6c926efd5c9f"/>
    <ds:schemaRef ds:uri="3e6fda42-6ce7-40ed-96c7-95eb2e743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C15CC-0A38-42FA-9C69-2505A6FE3F95}">
  <ds:schemaRefs>
    <ds:schemaRef ds:uri="http://schemas.microsoft.com/sharepoint/v3/contenttype/forms"/>
  </ds:schemaRefs>
</ds:datastoreItem>
</file>

<file path=customXml/itemProps4.xml><?xml version="1.0" encoding="utf-8"?>
<ds:datastoreItem xmlns:ds="http://schemas.openxmlformats.org/officeDocument/2006/customXml" ds:itemID="{ABA9B0AF-3273-4BC3-869D-EB7C9CA69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HCCTAS</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Brodie</dc:creator>
  <cp:keywords/>
  <dc:description/>
  <cp:lastModifiedBy>Mr L Phillips</cp:lastModifiedBy>
  <cp:revision>3</cp:revision>
  <cp:lastPrinted>2025-03-21T08:56:00Z</cp:lastPrinted>
  <dcterms:created xsi:type="dcterms:W3CDTF">2025-06-20T09:02:00Z</dcterms:created>
  <dcterms:modified xsi:type="dcterms:W3CDTF">2025-06-20T09:31:00Z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0x010100DD7D38A0013F70449DF54F602F60B37C</vt:lpwstr>
  </property>
</Properties>
</file>