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9D9" w14:textId="77777777" w:rsidR="00690986" w:rsidRDefault="00690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ven Pro" w:eastAsia="Maven Pro" w:hAnsi="Maven Pro" w:cs="Maven Pro"/>
          <w:b/>
          <w:color w:val="00526A"/>
          <w:sz w:val="24"/>
          <w:szCs w:val="24"/>
        </w:rPr>
      </w:pPr>
    </w:p>
    <w:p w14:paraId="2F6F45E1" w14:textId="77777777" w:rsidR="00690986" w:rsidRDefault="009E7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ven Pro" w:eastAsia="Maven Pro" w:hAnsi="Maven Pro" w:cs="Maven Pro"/>
          <w:b/>
          <w:color w:val="00526A"/>
          <w:sz w:val="24"/>
          <w:szCs w:val="24"/>
        </w:rPr>
      </w:pPr>
      <w:r>
        <w:rPr>
          <w:rFonts w:ascii="Maven Pro" w:eastAsia="Maven Pro" w:hAnsi="Maven Pro" w:cs="Maven Pro"/>
          <w:b/>
          <w:noProof/>
          <w:color w:val="00526A"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00D8C497" wp14:editId="16FA8663">
            <wp:simplePos x="0" y="0"/>
            <wp:positionH relativeFrom="page">
              <wp:posOffset>361600</wp:posOffset>
            </wp:positionH>
            <wp:positionV relativeFrom="page">
              <wp:posOffset>-20333</wp:posOffset>
            </wp:positionV>
            <wp:extent cx="2242012" cy="1006171"/>
            <wp:effectExtent l="0" t="0" r="0" b="0"/>
            <wp:wrapSquare wrapText="bothSides" distT="0" distB="0" distL="0" distR="0"/>
            <wp:docPr id="1" name="image1.jpg" descr="C:\Users\scoward\AppData\Local\Microsoft\Windows\Temporary Internet Files\Content.IE5\6MIX7N2V\Greenacres-Primary-flat-logo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coward\AppData\Local\Microsoft\Windows\Temporary Internet Files\Content.IE5\6MIX7N2V\Greenacres-Primary-flat-logo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012" cy="1006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89FE1" w14:textId="77777777" w:rsidR="00690986" w:rsidRDefault="006909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firstLine="720"/>
        <w:jc w:val="center"/>
        <w:rPr>
          <w:rFonts w:ascii="Maven Pro" w:eastAsia="Maven Pro" w:hAnsi="Maven Pro" w:cs="Maven Pro"/>
          <w:b/>
          <w:color w:val="00526A"/>
          <w:sz w:val="24"/>
          <w:szCs w:val="24"/>
        </w:rPr>
      </w:pPr>
    </w:p>
    <w:p w14:paraId="437A5E18" w14:textId="77777777" w:rsidR="00690986" w:rsidRDefault="009E7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"/>
        <w:jc w:val="center"/>
        <w:rPr>
          <w:rFonts w:ascii="Maven Pro" w:eastAsia="Maven Pro" w:hAnsi="Maven Pro" w:cs="Maven Pro"/>
          <w:b/>
          <w:color w:val="00526A"/>
          <w:sz w:val="24"/>
          <w:szCs w:val="24"/>
        </w:rPr>
      </w:pPr>
      <w:r>
        <w:rPr>
          <w:rFonts w:ascii="Maven Pro" w:eastAsia="Maven Pro" w:hAnsi="Maven Pro" w:cs="Maven Pro"/>
          <w:b/>
          <w:color w:val="00526A"/>
          <w:sz w:val="24"/>
          <w:szCs w:val="24"/>
        </w:rPr>
        <w:t>Job Description</w:t>
      </w:r>
    </w:p>
    <w:p w14:paraId="48789303" w14:textId="77777777" w:rsidR="00690986" w:rsidRDefault="00690986">
      <w:pPr>
        <w:widowControl/>
        <w:spacing w:line="276" w:lineRule="auto"/>
        <w:jc w:val="center"/>
        <w:rPr>
          <w:rFonts w:ascii="Arial" w:eastAsia="Arial" w:hAnsi="Arial" w:cs="Arial"/>
        </w:rPr>
      </w:pPr>
    </w:p>
    <w:p w14:paraId="54ACC131" w14:textId="77777777" w:rsidR="00690986" w:rsidRDefault="009E7D2C">
      <w:pPr>
        <w:widowControl/>
        <w:spacing w:line="276" w:lineRule="auto"/>
        <w:jc w:val="center"/>
        <w:rPr>
          <w:rFonts w:ascii="Maven Pro" w:eastAsia="Maven Pro" w:hAnsi="Maven Pro" w:cs="Maven Pro"/>
          <w:color w:val="000000"/>
          <w:sz w:val="24"/>
          <w:szCs w:val="24"/>
        </w:rPr>
      </w:pPr>
      <w:r>
        <w:rPr>
          <w:rFonts w:ascii="Arial" w:eastAsia="Arial" w:hAnsi="Arial" w:cs="Arial"/>
        </w:rPr>
        <w:t>Designated Specialist Provision (</w:t>
      </w:r>
      <w:r>
        <w:rPr>
          <w:rFonts w:ascii="Arial" w:eastAsia="Arial" w:hAnsi="Arial" w:cs="Arial"/>
          <w:b/>
        </w:rPr>
        <w:t>DSP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</w:rPr>
        <w:t>for  Developmental</w:t>
      </w:r>
      <w:proofErr w:type="gramEnd"/>
      <w:r>
        <w:rPr>
          <w:rFonts w:ascii="Arial" w:eastAsia="Arial" w:hAnsi="Arial" w:cs="Arial"/>
        </w:rPr>
        <w:t xml:space="preserve"> Language Disorders (</w:t>
      </w:r>
      <w:r>
        <w:rPr>
          <w:rFonts w:ascii="Arial" w:eastAsia="Arial" w:hAnsi="Arial" w:cs="Arial"/>
          <w:b/>
        </w:rPr>
        <w:t>DLD</w:t>
      </w:r>
      <w:r>
        <w:rPr>
          <w:rFonts w:ascii="Arial" w:eastAsia="Arial" w:hAnsi="Arial" w:cs="Arial"/>
        </w:rPr>
        <w:t>)</w:t>
      </w:r>
    </w:p>
    <w:p w14:paraId="027C4C3F" w14:textId="77777777" w:rsidR="00690986" w:rsidRDefault="006909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585BF63" w14:textId="77777777" w:rsidR="00690986" w:rsidRDefault="009E7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DLD Resource Teacher</w:t>
      </w:r>
    </w:p>
    <w:p w14:paraId="270C2324" w14:textId="77777777" w:rsidR="00690986" w:rsidRDefault="009E7D2C">
      <w:pP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7ACF552" w14:textId="77777777" w:rsidR="00690986" w:rsidRDefault="009E7D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14C0B13" w14:textId="77777777" w:rsidR="00690986" w:rsidRDefault="00690986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3D51D243" w14:textId="77777777" w:rsidR="00690986" w:rsidRDefault="009E7D2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 list is typical of the level of duties which the postholder will be expected to perform. It is not necessarily exhaustive and other duties of a similar type and level may be required from time to time.</w:t>
      </w:r>
    </w:p>
    <w:p w14:paraId="06FC1F92" w14:textId="77777777" w:rsidR="00690986" w:rsidRDefault="0069098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690986" w14:paraId="5A9C1C4F" w14:textId="77777777">
        <w:tc>
          <w:tcPr>
            <w:tcW w:w="1049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E59B" w14:textId="77777777" w:rsidR="00690986" w:rsidRDefault="009E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Qualifications</w:t>
            </w:r>
          </w:p>
        </w:tc>
      </w:tr>
      <w:tr w:rsidR="00690986" w14:paraId="191EDE8B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FAF6" w14:textId="77777777" w:rsidR="00690986" w:rsidRDefault="009E7D2C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Experienced teacher</w:t>
            </w:r>
          </w:p>
          <w:p w14:paraId="6B06774C" w14:textId="77777777" w:rsidR="00690986" w:rsidRDefault="009E7D2C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working with children with speech, language and communication needs.</w:t>
            </w:r>
          </w:p>
          <w:p w14:paraId="721B86D5" w14:textId="77777777" w:rsidR="00690986" w:rsidRDefault="009E7D2C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supporting others with professional </w:t>
            </w:r>
            <w:proofErr w:type="gramStart"/>
            <w:r>
              <w:rPr>
                <w:rFonts w:ascii="Arial" w:eastAsia="Arial" w:hAnsi="Arial" w:cs="Arial"/>
              </w:rPr>
              <w:t>development</w:t>
            </w:r>
            <w:proofErr w:type="gramEnd"/>
          </w:p>
          <w:p w14:paraId="25108CB2" w14:textId="77777777" w:rsidR="00690986" w:rsidRDefault="009E7D2C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Has/is committed to attaining </w:t>
            </w:r>
            <w:proofErr w:type="gramStart"/>
            <w:r>
              <w:rPr>
                <w:rFonts w:ascii="Arial" w:eastAsia="Arial" w:hAnsi="Arial" w:cs="Arial"/>
              </w:rPr>
              <w:t>a  PGCERT</w:t>
            </w:r>
            <w:proofErr w:type="gramEnd"/>
            <w:r>
              <w:rPr>
                <w:rFonts w:ascii="Arial" w:eastAsia="Arial" w:hAnsi="Arial" w:cs="Arial"/>
              </w:rPr>
              <w:t xml:space="preserve"> in SCLN</w:t>
            </w:r>
          </w:p>
          <w:p w14:paraId="06F25120" w14:textId="77777777" w:rsidR="00690986" w:rsidRDefault="00690986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0986" w14:paraId="15084115" w14:textId="77777777">
        <w:tc>
          <w:tcPr>
            <w:tcW w:w="1049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2A86" w14:textId="77777777" w:rsidR="00690986" w:rsidRDefault="009E7D2C">
            <w:pPr>
              <w:ind w:left="283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Teaching and Learning Responsibilities</w:t>
            </w:r>
          </w:p>
        </w:tc>
      </w:tr>
      <w:tr w:rsidR="00690986" w14:paraId="6E69422A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7367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develop, plan and deliver or support the delivery of the National Curriculum and intervention for a designated cohort of students within the DSP (suitably modified to take account of each child’s special education</w:t>
            </w:r>
            <w:r>
              <w:rPr>
                <w:rFonts w:ascii="Trebuchet MS" w:eastAsia="Trebuchet MS" w:hAnsi="Trebuchet MS" w:cs="Trebuchet MS"/>
              </w:rPr>
              <w:t xml:space="preserve">al needs). </w:t>
            </w:r>
          </w:p>
          <w:p w14:paraId="64194022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plan a personalised timetable of specialist teaching, intervention and inclusion based on children's individual needs.</w:t>
            </w:r>
          </w:p>
          <w:p w14:paraId="37BE5329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provide advice and support to other teachers in the </w:t>
            </w:r>
            <w:proofErr w:type="gramStart"/>
            <w:r>
              <w:rPr>
                <w:rFonts w:ascii="Trebuchet MS" w:eastAsia="Trebuchet MS" w:hAnsi="Trebuchet MS" w:cs="Trebuchet MS"/>
              </w:rPr>
              <w:t>school working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with children from the DSP, focusing on a whole scho</w:t>
            </w:r>
            <w:r>
              <w:rPr>
                <w:rFonts w:ascii="Trebuchet MS" w:eastAsia="Trebuchet MS" w:hAnsi="Trebuchet MS" w:cs="Trebuchet MS"/>
              </w:rPr>
              <w:t>ol inclusive approach and universal high quality teaching.</w:t>
            </w:r>
          </w:p>
          <w:p w14:paraId="1B891A92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support other teachers in the school working with children with </w:t>
            </w:r>
            <w:proofErr w:type="gramStart"/>
            <w:r>
              <w:rPr>
                <w:rFonts w:ascii="Trebuchet MS" w:eastAsia="Trebuchet MS" w:hAnsi="Trebuchet MS" w:cs="Trebuchet MS"/>
              </w:rPr>
              <w:t>SEND  focusing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on a whole school inclusive approach and universal high quality teaching and supporting early identification of nee</w:t>
            </w:r>
            <w:r>
              <w:rPr>
                <w:rFonts w:ascii="Trebuchet MS" w:eastAsia="Trebuchet MS" w:hAnsi="Trebuchet MS" w:cs="Trebuchet MS"/>
              </w:rPr>
              <w:t>d.</w:t>
            </w:r>
          </w:p>
          <w:p w14:paraId="75CD223C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Participate in </w:t>
            </w:r>
            <w:proofErr w:type="gramStart"/>
            <w:r>
              <w:rPr>
                <w:rFonts w:ascii="Trebuchet MS" w:eastAsia="Trebuchet MS" w:hAnsi="Trebuchet MS" w:cs="Trebuchet MS"/>
              </w:rPr>
              <w:t>the  development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of specialised resource toolkits to support children to develop skills and strategies that will increase their independence, confidence and self-esteem.</w:t>
            </w:r>
          </w:p>
          <w:p w14:paraId="59A757C6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work as a member of the school team, </w:t>
            </w:r>
            <w:proofErr w:type="gramStart"/>
            <w:r>
              <w:rPr>
                <w:rFonts w:ascii="Trebuchet MS" w:eastAsia="Trebuchet MS" w:hAnsi="Trebuchet MS" w:cs="Trebuchet MS"/>
              </w:rPr>
              <w:t>attend  staff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meetings and d</w:t>
            </w:r>
            <w:r>
              <w:rPr>
                <w:rFonts w:ascii="Trebuchet MS" w:eastAsia="Trebuchet MS" w:hAnsi="Trebuchet MS" w:cs="Trebuchet MS"/>
              </w:rPr>
              <w:t xml:space="preserve">eliver training. </w:t>
            </w:r>
          </w:p>
          <w:p w14:paraId="03DF2A10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ensure that programmes devised for children are in line with their needs as laid out in their EHCP or other targets and contribute towards the achievement of agreed outcomes. </w:t>
            </w:r>
          </w:p>
          <w:p w14:paraId="235D6734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assess progress towards meeting outcomes for each child </w:t>
            </w:r>
            <w:r>
              <w:rPr>
                <w:rFonts w:ascii="Trebuchet MS" w:eastAsia="Trebuchet MS" w:hAnsi="Trebuchet MS" w:cs="Trebuchet MS"/>
              </w:rPr>
              <w:t xml:space="preserve">and take appropriate action as a </w:t>
            </w:r>
            <w:proofErr w:type="gramStart"/>
            <w:r>
              <w:rPr>
                <w:rFonts w:ascii="Trebuchet MS" w:eastAsia="Trebuchet MS" w:hAnsi="Trebuchet MS" w:cs="Trebuchet MS"/>
              </w:rPr>
              <w:t>result</w:t>
            </w:r>
            <w:proofErr w:type="gramEnd"/>
          </w:p>
          <w:p w14:paraId="514D02FE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maintain high expectations of children's ability.</w:t>
            </w:r>
          </w:p>
          <w:p w14:paraId="1278A098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liaise with SALT’s and with class teachers to ensure all professionals are clear of the children's individual targets.</w:t>
            </w:r>
          </w:p>
          <w:p w14:paraId="38B5A449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liaise with the mainstream staff to plan, monitor and evaluate the provision for each student in the SRP. of these assessments.</w:t>
            </w:r>
          </w:p>
          <w:p w14:paraId="2B6C5FC9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</w:t>
            </w:r>
            <w:r>
              <w:rPr>
                <w:rFonts w:ascii="Trebuchet MS" w:eastAsia="Trebuchet MS" w:hAnsi="Trebuchet MS" w:cs="Trebuchet MS"/>
              </w:rPr>
              <w:t>meet with parents/carers to discuss their child’s progress and take appropriate action as a result of these discussions.</w:t>
            </w:r>
          </w:p>
          <w:p w14:paraId="77A35EA2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keep abreast of new developments/initiatives in both special needs education and mainstream education by ensuring personal C.P.D. is</w:t>
            </w:r>
            <w:r>
              <w:rPr>
                <w:rFonts w:ascii="Trebuchet MS" w:eastAsia="Trebuchet MS" w:hAnsi="Trebuchet MS" w:cs="Trebuchet MS"/>
              </w:rPr>
              <w:t xml:space="preserve"> effective.</w:t>
            </w:r>
          </w:p>
          <w:p w14:paraId="51726B08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have a clear understanding of safeguarding and the additional vulnerabilities of children who have SLCN.</w:t>
            </w:r>
          </w:p>
          <w:p w14:paraId="2D80E740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act in accordance with the </w:t>
            </w:r>
            <w:proofErr w:type="gramStart"/>
            <w:r>
              <w:rPr>
                <w:rFonts w:ascii="Trebuchet MS" w:eastAsia="Trebuchet MS" w:hAnsi="Trebuchet MS" w:cs="Trebuchet MS"/>
              </w:rPr>
              <w:t>schools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staff code of conduct, values and policies.</w:t>
            </w:r>
          </w:p>
          <w:p w14:paraId="453457D1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Support class teachers to retain responsibility for the progress of all pupils on their class list/roll.</w:t>
            </w:r>
          </w:p>
          <w:p w14:paraId="0419D767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take part in moderation and able to model effective teaching.</w:t>
            </w:r>
          </w:p>
        </w:tc>
      </w:tr>
      <w:tr w:rsidR="00690986" w14:paraId="6DB0CA84" w14:textId="77777777">
        <w:tc>
          <w:tcPr>
            <w:tcW w:w="1049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247E" w14:textId="77777777" w:rsidR="00690986" w:rsidRDefault="009E7D2C">
            <w:pPr>
              <w:ind w:left="283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</w:t>
            </w:r>
            <w:r>
              <w:rPr>
                <w:rFonts w:ascii="Arial" w:eastAsia="Arial" w:hAnsi="Arial" w:cs="Arial"/>
                <w:b/>
              </w:rPr>
              <w:t>cific post requirements</w:t>
            </w:r>
          </w:p>
        </w:tc>
      </w:tr>
      <w:tr w:rsidR="00690986" w14:paraId="7209A8CD" w14:textId="7777777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481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To play an active part in the DSP staff team with the and the lead resource teacher and the wider Greenacres staff team.</w:t>
            </w:r>
          </w:p>
          <w:p w14:paraId="2B5D57BB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have a clear understanding of the SEN Code of practice and the requirements within it.</w:t>
            </w:r>
          </w:p>
          <w:p w14:paraId="36FB639F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disseminate advice and information </w:t>
            </w:r>
            <w:proofErr w:type="gramStart"/>
            <w:r>
              <w:rPr>
                <w:rFonts w:ascii="Trebuchet MS" w:eastAsia="Trebuchet MS" w:hAnsi="Trebuchet MS" w:cs="Trebuchet MS"/>
              </w:rPr>
              <w:t>with regard to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the educational implications of DLD identifying the effects of developmental language disorders on learning styles and provide appropriate strategic advice to staff working with students. </w:t>
            </w:r>
          </w:p>
          <w:p w14:paraId="65299790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raise aware</w:t>
            </w:r>
            <w:r>
              <w:rPr>
                <w:rFonts w:ascii="Trebuchet MS" w:eastAsia="Trebuchet MS" w:hAnsi="Trebuchet MS" w:cs="Trebuchet MS"/>
              </w:rPr>
              <w:t xml:space="preserve">ness of staff and mainstream students of the main issues related to developmental language disorders. </w:t>
            </w:r>
          </w:p>
          <w:p w14:paraId="07A85020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provide reports on the development and progress of all pupils in their cohort, tracking their progress within intervention and the curriculum. </w:t>
            </w:r>
          </w:p>
          <w:p w14:paraId="5F1682D0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Partic</w:t>
            </w:r>
            <w:r>
              <w:rPr>
                <w:rFonts w:ascii="Trebuchet MS" w:eastAsia="Trebuchet MS" w:hAnsi="Trebuchet MS" w:cs="Trebuchet MS"/>
              </w:rPr>
              <w:t>ipate in the school’s Performance Management processes.</w:t>
            </w:r>
          </w:p>
          <w:p w14:paraId="7DA53F53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Take responsibility for keeping up to date knowledge of national legislation, regional policies and up to date research regarding children with a developmental language disorder, both within the DSP a</w:t>
            </w:r>
            <w:r>
              <w:rPr>
                <w:rFonts w:ascii="Trebuchet MS" w:eastAsia="Trebuchet MS" w:hAnsi="Trebuchet MS" w:cs="Trebuchet MS"/>
              </w:rPr>
              <w:t>nd within the mainstream school, and participate in professional discussions about these within the team.</w:t>
            </w:r>
          </w:p>
          <w:p w14:paraId="477B4438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Track and provide evidence of pupil progress working alongside mainstream teachers for curriculum subjects and SALT for intervention, </w:t>
            </w:r>
            <w:proofErr w:type="spellStart"/>
            <w:r>
              <w:rPr>
                <w:rFonts w:ascii="Trebuchet MS" w:eastAsia="Trebuchet MS" w:hAnsi="Trebuchet MS" w:cs="Trebuchet MS"/>
              </w:rPr>
              <w:t>co-ordinating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an</w:t>
            </w:r>
            <w:r>
              <w:rPr>
                <w:rFonts w:ascii="Trebuchet MS" w:eastAsia="Trebuchet MS" w:hAnsi="Trebuchet MS" w:cs="Trebuchet MS"/>
              </w:rPr>
              <w:t xml:space="preserve">d recording targets. </w:t>
            </w:r>
          </w:p>
          <w:p w14:paraId="5EF4F5ED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support the development of inreach and outreach services under the direction of the lead resource teacher.</w:t>
            </w:r>
          </w:p>
          <w:p w14:paraId="768B8047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work with external agencies to provide maximum support for pupils, staff and parents.</w:t>
            </w:r>
          </w:p>
          <w:p w14:paraId="60C5154F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work with the lead resource teac</w:t>
            </w:r>
            <w:r>
              <w:rPr>
                <w:rFonts w:ascii="Trebuchet MS" w:eastAsia="Trebuchet MS" w:hAnsi="Trebuchet MS" w:cs="Trebuchet MS"/>
              </w:rPr>
              <w:t>her in the effective and efficient deployment of LSA’s.</w:t>
            </w:r>
          </w:p>
          <w:p w14:paraId="03CF58BC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Work proactively with parents to include them in decisions, seek their views and supporting them with advice.</w:t>
            </w:r>
          </w:p>
          <w:p w14:paraId="448BE064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Ensure specialist technology/equipment is used effectively.</w:t>
            </w:r>
          </w:p>
          <w:p w14:paraId="452C29BB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Ensure that there is a focus o</w:t>
            </w:r>
            <w:r>
              <w:rPr>
                <w:rFonts w:ascii="Trebuchet MS" w:eastAsia="Trebuchet MS" w:hAnsi="Trebuchet MS" w:cs="Trebuchet MS"/>
              </w:rPr>
              <w:t>n developing the independence skills of the pupils and preparation for adult life.</w:t>
            </w:r>
          </w:p>
          <w:p w14:paraId="4A49B6C3" w14:textId="77777777" w:rsidR="00690986" w:rsidRDefault="009E7D2C">
            <w:pPr>
              <w:widowControl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Promote inclusive </w:t>
            </w:r>
            <w:proofErr w:type="gramStart"/>
            <w:r>
              <w:rPr>
                <w:rFonts w:ascii="Trebuchet MS" w:eastAsia="Trebuchet MS" w:hAnsi="Trebuchet MS" w:cs="Trebuchet MS"/>
              </w:rPr>
              <w:t>high quality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teaching and evidence-based interventions.</w:t>
            </w:r>
          </w:p>
          <w:p w14:paraId="08F529CA" w14:textId="77777777" w:rsidR="00690986" w:rsidRDefault="009E7D2C">
            <w:pPr>
              <w:keepLines/>
              <w:numPr>
                <w:ilvl w:val="0"/>
                <w:numId w:val="1"/>
              </w:numPr>
              <w:spacing w:after="22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Support the lead resource teacher to develop staff expertise through nationally recognised quality </w:t>
            </w:r>
            <w:r>
              <w:rPr>
                <w:rFonts w:ascii="Trebuchet MS" w:eastAsia="Trebuchet MS" w:hAnsi="Trebuchet MS" w:cs="Trebuchet MS"/>
              </w:rPr>
              <w:t>assurance measures such as the Balance System © Scheme for Schools.</w:t>
            </w:r>
          </w:p>
          <w:p w14:paraId="4050E0C8" w14:textId="77777777" w:rsidR="00690986" w:rsidRDefault="009E7D2C">
            <w:pPr>
              <w:keepLines/>
              <w:numPr>
                <w:ilvl w:val="0"/>
                <w:numId w:val="1"/>
              </w:numPr>
              <w:spacing w:after="22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Support the and the lead resource teacher to achieve and collect evidence of the quality standards necessary to obtain external accreditation </w:t>
            </w:r>
            <w:proofErr w:type="gramStart"/>
            <w:r>
              <w:rPr>
                <w:rFonts w:ascii="Trebuchet MS" w:eastAsia="Trebuchet MS" w:hAnsi="Trebuchet MS" w:cs="Trebuchet MS"/>
              </w:rPr>
              <w:t>e.g.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National Autistic Society Accreditation, </w:t>
            </w:r>
            <w:r>
              <w:rPr>
                <w:rFonts w:ascii="Trebuchet MS" w:eastAsia="Trebuchet MS" w:hAnsi="Trebuchet MS" w:cs="Trebuchet MS"/>
              </w:rPr>
              <w:t>NAPLIC and ICAN.</w:t>
            </w:r>
          </w:p>
          <w:p w14:paraId="79CC2D8C" w14:textId="77777777" w:rsidR="00690986" w:rsidRDefault="009E7D2C">
            <w:pPr>
              <w:keepLines/>
              <w:numPr>
                <w:ilvl w:val="0"/>
                <w:numId w:val="1"/>
              </w:numPr>
              <w:spacing w:after="22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 provide evidence and reports for the school and outside agencies as part of the EHCP, annual </w:t>
            </w:r>
            <w:proofErr w:type="gramStart"/>
            <w:r>
              <w:rPr>
                <w:rFonts w:ascii="Trebuchet MS" w:eastAsia="Trebuchet MS" w:hAnsi="Trebuchet MS" w:cs="Trebuchet MS"/>
              </w:rPr>
              <w:t>review  and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referral processes.</w:t>
            </w:r>
          </w:p>
          <w:p w14:paraId="28FC4C59" w14:textId="77777777" w:rsidR="00690986" w:rsidRDefault="009E7D2C">
            <w:pPr>
              <w:keepLines/>
              <w:numPr>
                <w:ilvl w:val="0"/>
                <w:numId w:val="1"/>
              </w:numPr>
              <w:spacing w:after="22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 proactively seek training and professional development opportunities to develop personal knowledge and skill</w:t>
            </w:r>
            <w:r>
              <w:rPr>
                <w:rFonts w:ascii="Trebuchet MS" w:eastAsia="Trebuchet MS" w:hAnsi="Trebuchet MS" w:cs="Trebuchet MS"/>
              </w:rPr>
              <w:t>s for the benefit of the children in the DSP.</w:t>
            </w:r>
          </w:p>
        </w:tc>
      </w:tr>
      <w:tr w:rsidR="00690986" w14:paraId="7A431B2D" w14:textId="77777777">
        <w:tc>
          <w:tcPr>
            <w:tcW w:w="1049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C2B2" w14:textId="77777777" w:rsidR="00690986" w:rsidRDefault="00690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B767891" w14:textId="77777777" w:rsidR="00690986" w:rsidRDefault="00690986">
      <w:pPr>
        <w:rPr>
          <w:rFonts w:ascii="Calibri" w:eastAsia="Calibri" w:hAnsi="Calibri" w:cs="Calibri"/>
          <w:sz w:val="24"/>
          <w:szCs w:val="24"/>
        </w:rPr>
      </w:pPr>
    </w:p>
    <w:p w14:paraId="0AFC502F" w14:textId="77777777" w:rsidR="00690986" w:rsidRDefault="00690986"/>
    <w:p w14:paraId="0C9CD825" w14:textId="77777777" w:rsidR="00690986" w:rsidRDefault="00690986">
      <w:pPr>
        <w:spacing w:line="276" w:lineRule="auto"/>
        <w:jc w:val="right"/>
        <w:rPr>
          <w:rFonts w:ascii="Roboto" w:eastAsia="Roboto" w:hAnsi="Roboto" w:cs="Roboto"/>
          <w:b/>
          <w:sz w:val="24"/>
          <w:szCs w:val="24"/>
        </w:rPr>
      </w:pPr>
    </w:p>
    <w:p w14:paraId="781CB856" w14:textId="77777777" w:rsidR="00690986" w:rsidRDefault="00690986">
      <w:pPr>
        <w:spacing w:line="276" w:lineRule="auto"/>
        <w:jc w:val="right"/>
        <w:rPr>
          <w:rFonts w:ascii="Roboto" w:eastAsia="Roboto" w:hAnsi="Roboto" w:cs="Roboto"/>
          <w:b/>
          <w:sz w:val="24"/>
          <w:szCs w:val="24"/>
        </w:rPr>
      </w:pPr>
    </w:p>
    <w:sectPr w:rsidR="00690986">
      <w:headerReference w:type="default" r:id="rId8"/>
      <w:pgSz w:w="11910" w:h="16840"/>
      <w:pgMar w:top="360" w:right="569" w:bottom="28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E341" w14:textId="77777777" w:rsidR="00000000" w:rsidRDefault="009E7D2C">
      <w:r>
        <w:separator/>
      </w:r>
    </w:p>
  </w:endnote>
  <w:endnote w:type="continuationSeparator" w:id="0">
    <w:p w14:paraId="1DC7B595" w14:textId="77777777" w:rsidR="00000000" w:rsidRDefault="009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ven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9EB" w14:textId="77777777" w:rsidR="00000000" w:rsidRDefault="009E7D2C">
      <w:r>
        <w:separator/>
      </w:r>
    </w:p>
  </w:footnote>
  <w:footnote w:type="continuationSeparator" w:id="0">
    <w:p w14:paraId="099C6424" w14:textId="77777777" w:rsidR="00000000" w:rsidRDefault="009E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86C" w14:textId="77777777" w:rsidR="00690986" w:rsidRDefault="006909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5E15"/>
    <w:multiLevelType w:val="multilevel"/>
    <w:tmpl w:val="244A6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86"/>
    <w:rsid w:val="00690986"/>
    <w:rsid w:val="009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F0"/>
  <w15:docId w15:val="{86544557-8112-46E9-A2D2-032D83B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Wilkinson</cp:lastModifiedBy>
  <cp:revision>2</cp:revision>
  <dcterms:created xsi:type="dcterms:W3CDTF">2021-05-11T08:44:00Z</dcterms:created>
  <dcterms:modified xsi:type="dcterms:W3CDTF">2021-05-11T08:44:00Z</dcterms:modified>
</cp:coreProperties>
</file>