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48" w:rsidRDefault="00BD2448">
      <w:pPr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0F6DC1">
      <w:pPr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t>JOB DESCRIPTION</w:t>
      </w:r>
    </w:p>
    <w:p w:rsidR="00BD2448" w:rsidRDefault="00BD244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D2448" w:rsidRDefault="000F6DC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title: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Senior Assistant Headteacher: Behaviour / Culture</w:t>
      </w:r>
    </w:p>
    <w:p w:rsidR="00BD2448" w:rsidRDefault="000F6DC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Salary range: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L14-18</w:t>
      </w:r>
    </w:p>
    <w:p w:rsidR="00BD2448" w:rsidRDefault="000F6DC1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Accountable to</w:t>
      </w:r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</w:rPr>
        <w:tab/>
        <w:t>Deputy Head / Headteacher</w:t>
      </w:r>
    </w:p>
    <w:p w:rsidR="00BD2448" w:rsidRDefault="00BD2448">
      <w:pPr>
        <w:spacing w:after="75"/>
        <w:jc w:val="both"/>
        <w:rPr>
          <w:rFonts w:ascii="Calibri" w:eastAsia="Calibri" w:hAnsi="Calibri" w:cs="Calibri"/>
        </w:rPr>
      </w:pPr>
    </w:p>
    <w:p w:rsidR="00BD2448" w:rsidRDefault="000F6DC1">
      <w:pPr>
        <w:spacing w:after="75"/>
        <w:jc w:val="both"/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t>Job Purpose</w:t>
      </w:r>
    </w:p>
    <w:p w:rsidR="00BD2448" w:rsidRDefault="000F6DC1">
      <w:p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As a member of the senior leadership team, to lead staff to enable all students to make as much progress as possible, and to develop as confident, well-educated and happy young people.  You will be flexible and multi-skilled and able to take on any portfol</w:t>
      </w:r>
      <w:r>
        <w:rPr>
          <w:rFonts w:ascii="Quattrocento Sans" w:eastAsia="Quattrocento Sans" w:hAnsi="Quattrocento Sans" w:cs="Quattrocento Sans"/>
          <w:sz w:val="20"/>
          <w:szCs w:val="20"/>
        </w:rPr>
        <w:t>io or area of responsibility.  The leadership challenges and demands in a school mean that specific responsibilities have to change from time to time, and this role is one in which adaptability and creativity are paramount.</w:t>
      </w:r>
    </w:p>
    <w:p w:rsidR="00BD2448" w:rsidRDefault="00BD2448">
      <w:pPr>
        <w:spacing w:after="75"/>
        <w:jc w:val="both"/>
        <w:rPr>
          <w:rFonts w:ascii="Calibri" w:eastAsia="Calibri" w:hAnsi="Calibri" w:cs="Calibri"/>
        </w:rPr>
      </w:pPr>
    </w:p>
    <w:p w:rsidR="00BD2448" w:rsidRDefault="000F6DC1">
      <w:pPr>
        <w:spacing w:after="75"/>
        <w:jc w:val="both"/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t>Main Responsibilities</w:t>
      </w:r>
    </w:p>
    <w:p w:rsidR="00BD2448" w:rsidRDefault="000F6DC1">
      <w:pPr>
        <w:numPr>
          <w:ilvl w:val="0"/>
          <w:numId w:val="8"/>
        </w:num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assist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 the Headteacher in the leadership and management of the school and in all aspects of school improvement</w:t>
      </w:r>
    </w:p>
    <w:p w:rsidR="00BD2448" w:rsidRDefault="000F6DC1">
      <w:pPr>
        <w:numPr>
          <w:ilvl w:val="0"/>
          <w:numId w:val="8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participate in decision making by demonstrating initiative, with the introduction of positive ideas and influence within the leadership team and oth</w:t>
      </w:r>
      <w:r>
        <w:rPr>
          <w:rFonts w:ascii="Quattrocento Sans" w:eastAsia="Quattrocento Sans" w:hAnsi="Quattrocento Sans" w:cs="Quattrocento Sans"/>
          <w:sz w:val="20"/>
          <w:szCs w:val="20"/>
        </w:rPr>
        <w:t>er staff teams</w:t>
      </w:r>
    </w:p>
    <w:p w:rsidR="00BD2448" w:rsidRDefault="000F6DC1">
      <w:pPr>
        <w:numPr>
          <w:ilvl w:val="0"/>
          <w:numId w:val="8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contribute to the self-evaluation process</w:t>
      </w:r>
    </w:p>
    <w:p w:rsidR="00BD2448" w:rsidRDefault="000F6DC1">
      <w:pPr>
        <w:numPr>
          <w:ilvl w:val="0"/>
          <w:numId w:val="8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be a strong leadership presence during the school day and be available to support staff, students and parents in the day to day running of the school</w:t>
      </w:r>
    </w:p>
    <w:p w:rsidR="00BD2448" w:rsidRDefault="000F6DC1">
      <w:pPr>
        <w:numPr>
          <w:ilvl w:val="0"/>
          <w:numId w:val="8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ensure all responsibilities, tasks and a</w:t>
      </w:r>
      <w:r>
        <w:rPr>
          <w:rFonts w:ascii="Quattrocento Sans" w:eastAsia="Quattrocento Sans" w:hAnsi="Quattrocento Sans" w:cs="Quattrocento Sans"/>
          <w:sz w:val="20"/>
          <w:szCs w:val="20"/>
        </w:rPr>
        <w:t>ctivities consider the inclusion of all vulnerable groups within the school community</w:t>
      </w:r>
    </w:p>
    <w:p w:rsidR="00BD2448" w:rsidRDefault="000F6DC1">
      <w:pPr>
        <w:numPr>
          <w:ilvl w:val="0"/>
          <w:numId w:val="8"/>
        </w:num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Under the reasonable direction of the Headteacher, to carry out the duties of a teacher as outlined in the job description for a classroom teacher</w:t>
      </w:r>
    </w:p>
    <w:p w:rsidR="00BD2448" w:rsidRDefault="000F6DC1">
      <w:pPr>
        <w:numPr>
          <w:ilvl w:val="0"/>
          <w:numId w:val="8"/>
        </w:num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deputise for the Headteacher as required</w:t>
      </w:r>
    </w:p>
    <w:p w:rsidR="00BD2448" w:rsidRDefault="000F6DC1">
      <w:pPr>
        <w:numPr>
          <w:ilvl w:val="0"/>
          <w:numId w:val="8"/>
        </w:num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undertake any other responsibility as deemed reasonable by the Headteacher</w:t>
      </w:r>
    </w:p>
    <w:p w:rsidR="00BD2448" w:rsidRDefault="00BD2448">
      <w:p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0F6DC1">
      <w:pPr>
        <w:rPr>
          <w:rFonts w:ascii="Quattrocento Sans" w:eastAsia="Quattrocento Sans" w:hAnsi="Quattrocento Sans" w:cs="Quattrocento Sans"/>
          <w:b/>
          <w:color w:val="002060"/>
        </w:rPr>
      </w:pPr>
      <w:r>
        <w:rPr>
          <w:rFonts w:ascii="Quattrocento Sans" w:eastAsia="Quattrocento Sans" w:hAnsi="Quattrocento Sans" w:cs="Quattrocento Sans"/>
          <w:b/>
          <w:color w:val="002060"/>
        </w:rPr>
        <w:t>Specific Responsibility for Behaviour/Culture</w:t>
      </w:r>
    </w:p>
    <w:p w:rsidR="00BD2448" w:rsidRDefault="00BD2448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Lead pastoral leaders and work with the Deputy Head to build a strong team which secur</w:t>
      </w:r>
      <w:r>
        <w:rPr>
          <w:rFonts w:ascii="Quattrocento Sans" w:eastAsia="Quattrocento Sans" w:hAnsi="Quattrocento Sans" w:cs="Quattrocento Sans"/>
          <w:sz w:val="20"/>
          <w:szCs w:val="20"/>
        </w:rPr>
        <w:t>es our shared vision and cements high standards of behaviour and discipline throughout the school.</w:t>
      </w: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Lead the review implementation and realisation of the EWS Behaviour framework.</w:t>
      </w: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Work with Curriculum Leaders to promote good behaviour for learning within departments.</w:t>
      </w: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Lead the development, implementation and maintenance of a praise and rewards programme that promotes a growth mind-set and a culture of high achievement, with regular c</w:t>
      </w:r>
      <w:r>
        <w:rPr>
          <w:rFonts w:ascii="Quattrocento Sans" w:eastAsia="Quattrocento Sans" w:hAnsi="Quattrocento Sans" w:cs="Quattrocento Sans"/>
          <w:sz w:val="20"/>
          <w:szCs w:val="20"/>
        </w:rPr>
        <w:t>elebration.</w:t>
      </w: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Act as a Deputy Designated Senior Safeguarding Lead</w:t>
      </w: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Understand and share knowledge of adolescent development in order to improve student behaviour.</w:t>
      </w:r>
    </w:p>
    <w:p w:rsidR="00BD2448" w:rsidRDefault="000F6DC1">
      <w:pPr>
        <w:numPr>
          <w:ilvl w:val="0"/>
          <w:numId w:val="7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Build close links with parents, in particular groups of ‘hard to reach’ parents, to support a cu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lture of high </w:t>
      </w:r>
    </w:p>
    <w:p w:rsidR="00BD2448" w:rsidRDefault="000F6DC1">
      <w:pPr>
        <w:ind w:left="720"/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aspiration and achievement.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Contribute to the development and provision of the highest quality of education at EWS.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Play a leading role in cultivating a school ethos founded on the school value.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Make sure that young people of all abilities a</w:t>
      </w:r>
      <w:r>
        <w:rPr>
          <w:rFonts w:ascii="Quattrocento Sans" w:eastAsia="Quattrocento Sans" w:hAnsi="Quattrocento Sans" w:cs="Quattrocento Sans"/>
          <w:sz w:val="20"/>
          <w:szCs w:val="20"/>
        </w:rPr>
        <w:t>nd backgrounds fulfil their potential.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Encourage staff to develop their own practice, while maintaining a passion for their own subject.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Develop the capacity for leadership across the school and in other people.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Contribute to partnerships with outside orga</w:t>
      </w:r>
      <w:r>
        <w:rPr>
          <w:rFonts w:ascii="Quattrocento Sans" w:eastAsia="Quattrocento Sans" w:hAnsi="Quattrocento Sans" w:cs="Quattrocento Sans"/>
          <w:sz w:val="20"/>
          <w:szCs w:val="20"/>
        </w:rPr>
        <w:t>nisations and agencies which positively influence the provision in the school and its reputation and ‘brand’ within the wider community.</w:t>
      </w:r>
    </w:p>
    <w:p w:rsidR="00BD2448" w:rsidRDefault="000F6DC1">
      <w:pPr>
        <w:numPr>
          <w:ilvl w:val="0"/>
          <w:numId w:val="3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Promote a positive ethos across the school based on the school vision.</w:t>
      </w:r>
    </w:p>
    <w:p w:rsidR="00BD2448" w:rsidRDefault="00BD2448">
      <w:p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BD2448">
      <w:pPr>
        <w:spacing w:after="75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0F6D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lastRenderedPageBreak/>
        <w:t>Other Duties / Responsibilities</w:t>
      </w:r>
    </w:p>
    <w:p w:rsidR="00BD2448" w:rsidRDefault="00BD2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b/>
          <w:color w:val="548DD4"/>
          <w:sz w:val="20"/>
          <w:szCs w:val="20"/>
        </w:rPr>
      </w:pPr>
    </w:p>
    <w:p w:rsidR="00BD2448" w:rsidRDefault="000F6D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These will be negotiated with the successful candidate on an annual basis:</w:t>
      </w:r>
    </w:p>
    <w:p w:rsidR="00BD2448" w:rsidRDefault="00BD2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Personal Development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Student behavior and rewards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Student Voice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Catch Up Funding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Values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Hard to reach stakeholder Outreach and Engagement strategies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Work with curriculum leaders to promote good behavior for learning with departments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Whole school literacy and numeracy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Parents Evenings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KPI’s Governors</w:t>
      </w:r>
    </w:p>
    <w:p w:rsidR="00BD2448" w:rsidRDefault="000F6D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Responsible for KS3 HOY / Behaviour </w:t>
      </w:r>
    </w:p>
    <w:p w:rsidR="00BD2448" w:rsidRDefault="000F6DC1">
      <w:pPr>
        <w:numPr>
          <w:ilvl w:val="0"/>
          <w:numId w:val="9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attend leadership team briefings and meetings</w:t>
      </w:r>
    </w:p>
    <w:p w:rsidR="00BD2448" w:rsidRDefault="000F6DC1">
      <w:pPr>
        <w:numPr>
          <w:ilvl w:val="0"/>
          <w:numId w:val="9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attend whole st</w:t>
      </w:r>
      <w:r>
        <w:rPr>
          <w:rFonts w:ascii="Quattrocento Sans" w:eastAsia="Quattrocento Sans" w:hAnsi="Quattrocento Sans" w:cs="Quattrocento Sans"/>
          <w:sz w:val="20"/>
          <w:szCs w:val="20"/>
        </w:rPr>
        <w:t>aff and other meetings and lead them where appropriate as per the school calendar</w:t>
      </w:r>
    </w:p>
    <w:p w:rsidR="00BD2448" w:rsidRDefault="000F6DC1">
      <w:pPr>
        <w:numPr>
          <w:ilvl w:val="0"/>
          <w:numId w:val="9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take an active role in staff professional development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prepare and present reports as required e.g. for governors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take an active role in providing information for pub</w:t>
      </w:r>
      <w:r>
        <w:rPr>
          <w:rFonts w:ascii="Quattrocento Sans" w:eastAsia="Quattrocento Sans" w:hAnsi="Quattrocento Sans" w:cs="Quattrocento Sans"/>
          <w:sz w:val="20"/>
          <w:szCs w:val="20"/>
        </w:rPr>
        <w:t>licity and the school newsletter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To attend meetings during evening hours or in school holidays as required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Enactment of health and safety requirements and initiatives as directed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Ensuring compliance with data protection legislation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At all times operating within the schools equality policy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Commitment and contribution to improving standards for students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Acknowledging customer care and quality initiatives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Contributing to the maintenance of a caring and stimulating environment for studen</w:t>
      </w:r>
      <w:r>
        <w:rPr>
          <w:rFonts w:ascii="Quattrocento Sans" w:eastAsia="Quattrocento Sans" w:hAnsi="Quattrocento Sans" w:cs="Quattrocento Sans"/>
          <w:sz w:val="20"/>
          <w:szCs w:val="20"/>
        </w:rPr>
        <w:t>ts</w:t>
      </w:r>
    </w:p>
    <w:p w:rsidR="00BD2448" w:rsidRDefault="00BD24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BD24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0F6DC1">
      <w:pPr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t>In our school context, we add the following practical demands.  We should be:</w:t>
      </w:r>
    </w:p>
    <w:p w:rsidR="00BD2448" w:rsidRDefault="00BD2448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Highly visible so we lead and support our colleagues and reassure our young people.  We need to be systematic about visibility and hold others to account.</w:t>
      </w: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Collaborative so that decisions are understood and gather general assent.  We need to explain and explain again why an action or procedure is needed then ensure it happens.</w:t>
      </w: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Able to see a broad picture and link it to the school plan, resisting fashions and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gimmicks.</w:t>
      </w: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Resisting short cuts or easy answers:  ensuring colleagues do their jobs, not doing it for them.</w:t>
      </w: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Able to investigate, research, analyse, plan, implement and evaluate.</w:t>
      </w: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Concerned for the work-life balance of our profession and the future of school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leadership by making sustainable choices, not modelling, promoting or expecting a damaging long hours culture.  Wherever possible, reducing demands and encouraging professional freedom while monitoring success.</w:t>
      </w:r>
    </w:p>
    <w:p w:rsidR="00BD2448" w:rsidRDefault="000F6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United, so that all members of the team support one another but having difficult conversations when necessary.</w:t>
      </w:r>
    </w:p>
    <w:p w:rsidR="00BD2448" w:rsidRDefault="00BD2448">
      <w:pPr>
        <w:rPr>
          <w:rFonts w:ascii="Quattrocento Sans" w:eastAsia="Quattrocento Sans" w:hAnsi="Quattrocento Sans" w:cs="Quattrocento Sans"/>
          <w:sz w:val="20"/>
          <w:szCs w:val="20"/>
          <w:highlight w:val="yellow"/>
        </w:rPr>
      </w:pPr>
    </w:p>
    <w:p w:rsidR="00BD2448" w:rsidRDefault="000F6DC1">
      <w:p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The purpose of these qualities is to provide us with a common foundation on which our authority as leaders stems, but also to which we are accou</w:t>
      </w:r>
      <w:r>
        <w:rPr>
          <w:rFonts w:ascii="Quattrocento Sans" w:eastAsia="Quattrocento Sans" w:hAnsi="Quattrocento Sans" w:cs="Quattrocento Sans"/>
          <w:sz w:val="20"/>
          <w:szCs w:val="20"/>
        </w:rPr>
        <w:t>ntable.  Some of them are very hard and we will have to ensure we support and develop leaders at all levels of the school in meeting these expectations.</w:t>
      </w:r>
    </w:p>
    <w:p w:rsidR="00BD2448" w:rsidRDefault="00BD2448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0F6DC1">
      <w:pPr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t>Line management</w:t>
      </w:r>
    </w:p>
    <w:p w:rsidR="00BD2448" w:rsidRDefault="00BD2448">
      <w:pPr>
        <w:rPr>
          <w:rFonts w:ascii="Quattrocento Sans" w:eastAsia="Quattrocento Sans" w:hAnsi="Quattrocento Sans" w:cs="Quattrocento Sans"/>
          <w:b/>
          <w:color w:val="4F81BD"/>
        </w:rPr>
      </w:pP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Head of Faculty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Head of Year</w:t>
      </w:r>
    </w:p>
    <w:p w:rsidR="00BD2448" w:rsidRDefault="000F6DC1">
      <w:pPr>
        <w:numPr>
          <w:ilvl w:val="0"/>
          <w:numId w:val="4"/>
        </w:numPr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Relevant support staff in line with specific responsibil</w:t>
      </w:r>
      <w:r>
        <w:rPr>
          <w:rFonts w:ascii="Quattrocento Sans" w:eastAsia="Quattrocento Sans" w:hAnsi="Quattrocento Sans" w:cs="Quattrocento Sans"/>
          <w:sz w:val="20"/>
          <w:szCs w:val="20"/>
        </w:rPr>
        <w:t>ities</w:t>
      </w:r>
    </w:p>
    <w:p w:rsidR="00BD2448" w:rsidRDefault="00BD2448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BD2448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:rsidR="00BD2448" w:rsidRDefault="00BD2448">
      <w:pPr>
        <w:rPr>
          <w:rFonts w:ascii="Quattrocento Sans" w:eastAsia="Quattrocento Sans" w:hAnsi="Quattrocento Sans" w:cs="Quattrocento Sans"/>
          <w:b/>
          <w:color w:val="0B5394"/>
        </w:rPr>
      </w:pPr>
    </w:p>
    <w:p w:rsidR="00BD2448" w:rsidRDefault="00BD2448">
      <w:pPr>
        <w:rPr>
          <w:rFonts w:ascii="Quattrocento Sans" w:eastAsia="Quattrocento Sans" w:hAnsi="Quattrocento Sans" w:cs="Quattrocento Sans"/>
          <w:b/>
          <w:color w:val="0B5394"/>
        </w:rPr>
      </w:pPr>
    </w:p>
    <w:p w:rsidR="00BD2448" w:rsidRDefault="000F6DC1">
      <w:pPr>
        <w:rPr>
          <w:rFonts w:ascii="Quattrocento Sans" w:eastAsia="Quattrocento Sans" w:hAnsi="Quattrocento Sans" w:cs="Quattrocento Sans"/>
          <w:b/>
          <w:color w:val="0B5394"/>
        </w:rPr>
      </w:pPr>
      <w:r>
        <w:rPr>
          <w:rFonts w:ascii="Quattrocento Sans" w:eastAsia="Quattrocento Sans" w:hAnsi="Quattrocento Sans" w:cs="Quattrocento Sans"/>
          <w:b/>
          <w:color w:val="0B5394"/>
        </w:rPr>
        <w:t>In the Leadership Group we should also abide by the Principles of Public Life;</w:t>
      </w:r>
    </w:p>
    <w:p w:rsidR="00BD2448" w:rsidRDefault="00BD2448">
      <w:pPr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 xml:space="preserve">Selflessness </w:t>
      </w:r>
      <w:r>
        <w:rPr>
          <w:rFonts w:ascii="Quattrocento Sans" w:eastAsia="Quattrocento Sans" w:hAnsi="Quattrocento Sans" w:cs="Quattrocento Sans"/>
          <w:sz w:val="20"/>
          <w:szCs w:val="20"/>
        </w:rPr>
        <w:t>– to act for the greater good, not for our own power, status or relationships</w:t>
      </w: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 xml:space="preserve">Honesty </w:t>
      </w:r>
      <w:r>
        <w:rPr>
          <w:rFonts w:ascii="Quattrocento Sans" w:eastAsia="Quattrocento Sans" w:hAnsi="Quattrocento Sans" w:cs="Quattrocento Sans"/>
          <w:sz w:val="20"/>
          <w:szCs w:val="20"/>
        </w:rPr>
        <w:t>– to reflect issues as they are and to be honest with each other</w:t>
      </w: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>Openness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 – to explain our actions and respond to criticism, not just to demand compliance</w:t>
      </w: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>Integrity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 – to do what is right, and what builds up a solid and reliable education system.</w:t>
      </w: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>Objectivity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 – to make decisions on merit, not because they make life easier</w:t>
      </w: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>Accountability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 – to take responsibility for our actions, as public servants</w:t>
      </w:r>
    </w:p>
    <w:p w:rsidR="00BD2448" w:rsidRDefault="000F6DC1">
      <w:pPr>
        <w:numPr>
          <w:ilvl w:val="0"/>
          <w:numId w:val="5"/>
        </w:num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sz w:val="20"/>
          <w:szCs w:val="20"/>
        </w:rPr>
        <w:t>Leadership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 – to act according to these six principles and to enable others to do so to</w:t>
      </w: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:rsidR="00BD2448" w:rsidRDefault="00BD2448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  <w:bookmarkStart w:id="0" w:name="_GoBack"/>
      <w:bookmarkEnd w:id="0"/>
    </w:p>
    <w:sectPr w:rsidR="00BD2448">
      <w:headerReference w:type="default" r:id="rId9"/>
      <w:footerReference w:type="default" r:id="rId10"/>
      <w:pgSz w:w="11900" w:h="16840"/>
      <w:pgMar w:top="1134" w:right="794" w:bottom="1134" w:left="79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DC1">
      <w:r>
        <w:separator/>
      </w:r>
    </w:p>
  </w:endnote>
  <w:endnote w:type="continuationSeparator" w:id="0">
    <w:p w:rsidR="00000000" w:rsidRDefault="000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8" w:rsidRDefault="000F6DC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1F497D"/>
      </w:rPr>
    </w:pPr>
    <w:r>
      <w:rPr>
        <w:rFonts w:ascii="Calibri" w:eastAsia="Calibri" w:hAnsi="Calibri" w:cs="Calibri"/>
        <w:b/>
        <w:color w:val="1F497D"/>
      </w:rPr>
      <w:t xml:space="preserve">Senior Assistant Headteacher: Behaviour / Culture                                                                                 Page </w:t>
    </w:r>
    <w:r>
      <w:rPr>
        <w:rFonts w:ascii="Calibri" w:eastAsia="Calibri" w:hAnsi="Calibri" w:cs="Calibri"/>
        <w:b/>
        <w:color w:val="1F497D"/>
      </w:rPr>
      <w:fldChar w:fldCharType="begin"/>
    </w:r>
    <w:r>
      <w:rPr>
        <w:rFonts w:ascii="Calibri" w:eastAsia="Calibri" w:hAnsi="Calibri" w:cs="Calibri"/>
        <w:b/>
        <w:color w:val="1F497D"/>
      </w:rPr>
      <w:instrText>PAGE</w:instrText>
    </w:r>
    <w:r>
      <w:rPr>
        <w:rFonts w:ascii="Calibri" w:eastAsia="Calibri" w:hAnsi="Calibri" w:cs="Calibri"/>
        <w:b/>
        <w:color w:val="1F497D"/>
      </w:rPr>
      <w:fldChar w:fldCharType="separate"/>
    </w:r>
    <w:r>
      <w:rPr>
        <w:rFonts w:ascii="Calibri" w:eastAsia="Calibri" w:hAnsi="Calibri" w:cs="Calibri"/>
        <w:b/>
        <w:noProof/>
        <w:color w:val="1F497D"/>
      </w:rPr>
      <w:t>1</w:t>
    </w:r>
    <w:r>
      <w:rPr>
        <w:rFonts w:ascii="Calibri" w:eastAsia="Calibri" w:hAnsi="Calibri" w:cs="Calibri"/>
        <w:b/>
        <w:color w:val="1F497D"/>
      </w:rPr>
      <w:fldChar w:fldCharType="end"/>
    </w:r>
  </w:p>
  <w:p w:rsidR="00BD2448" w:rsidRDefault="00BD2448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1F497D"/>
      </w:rPr>
    </w:pPr>
  </w:p>
  <w:p w:rsidR="00BD2448" w:rsidRDefault="00BD2448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1F497D"/>
      </w:rPr>
    </w:pPr>
  </w:p>
  <w:p w:rsidR="00BD2448" w:rsidRDefault="00BD24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80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DC1">
      <w:r>
        <w:separator/>
      </w:r>
    </w:p>
  </w:footnote>
  <w:footnote w:type="continuationSeparator" w:id="0">
    <w:p w:rsidR="00000000" w:rsidRDefault="000F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8" w:rsidRDefault="00BD24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D2448" w:rsidRDefault="00BD24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D2448" w:rsidRDefault="000F6D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3E3275B7" wp14:editId="30DABD6E">
          <wp:extent cx="2213246" cy="1093734"/>
          <wp:effectExtent l="0" t="0" r="0" b="0"/>
          <wp:docPr id="22" name="image2.jpg" descr="N:\EWS Logo\EWS LOGO with wor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:\EWS Logo\EWS LOGO with word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3246" cy="1093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52A1F788" wp14:editId="2AA1FCB1">
          <wp:simplePos x="0" y="0"/>
          <wp:positionH relativeFrom="column">
            <wp:posOffset>4751705</wp:posOffset>
          </wp:positionH>
          <wp:positionV relativeFrom="paragraph">
            <wp:posOffset>207009</wp:posOffset>
          </wp:positionV>
          <wp:extent cx="1414780" cy="940435"/>
          <wp:effectExtent l="0" t="0" r="0" b="0"/>
          <wp:wrapSquare wrapText="bothSides" distT="0" distB="0" distL="0" distR="0"/>
          <wp:docPr id="21" name="image1.jpg" descr="Image result for Tove Learning Trust Webs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Tove Learning Trust Websi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12"/>
    <w:multiLevelType w:val="multilevel"/>
    <w:tmpl w:val="2D906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392F98"/>
    <w:multiLevelType w:val="multilevel"/>
    <w:tmpl w:val="46ACC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B07142"/>
    <w:multiLevelType w:val="multilevel"/>
    <w:tmpl w:val="75106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202BC8"/>
    <w:multiLevelType w:val="multilevel"/>
    <w:tmpl w:val="B4ACB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F8C56CB"/>
    <w:multiLevelType w:val="multilevel"/>
    <w:tmpl w:val="D09EB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B168AE"/>
    <w:multiLevelType w:val="multilevel"/>
    <w:tmpl w:val="428A0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EC6DD9"/>
    <w:multiLevelType w:val="multilevel"/>
    <w:tmpl w:val="BF769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107237"/>
    <w:multiLevelType w:val="multilevel"/>
    <w:tmpl w:val="05142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00A3A8F"/>
    <w:multiLevelType w:val="multilevel"/>
    <w:tmpl w:val="8FA2D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448"/>
    <w:rsid w:val="000F6DC1"/>
    <w:rsid w:val="00B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D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6152"/>
    <w:pPr>
      <w:keepNext/>
      <w:jc w:val="center"/>
      <w:outlineLvl w:val="0"/>
    </w:pPr>
    <w:rPr>
      <w:rFonts w:ascii="Times New Roman" w:eastAsia="Times New Roman" w:hAnsi="Times New Roman"/>
      <w:szCs w:val="20"/>
      <w:lang w:val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EC"/>
  </w:style>
  <w:style w:type="paragraph" w:styleId="Footer">
    <w:name w:val="footer"/>
    <w:basedOn w:val="Normal"/>
    <w:link w:val="Foot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EC"/>
  </w:style>
  <w:style w:type="paragraph" w:styleId="BalloonText">
    <w:name w:val="Balloon Text"/>
    <w:basedOn w:val="Normal"/>
    <w:link w:val="BalloonTextChar"/>
    <w:uiPriority w:val="99"/>
    <w:semiHidden/>
    <w:unhideWhenUsed/>
    <w:rsid w:val="004D3F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F8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4D3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4D3F84"/>
    <w:rPr>
      <w:color w:val="0000FF"/>
      <w:u w:val="single"/>
    </w:rPr>
  </w:style>
  <w:style w:type="table" w:styleId="TableGrid">
    <w:name w:val="Table Grid"/>
    <w:basedOn w:val="TableNormal"/>
    <w:uiPriority w:val="59"/>
    <w:rsid w:val="000A7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semiHidden/>
    <w:rsid w:val="004D6152"/>
    <w:rPr>
      <w:rFonts w:ascii="Gill Sans MT" w:eastAsia="Times New Roman" w:hAnsi="Gill Sans MT"/>
      <w:b/>
      <w:bCs/>
      <w:sz w:val="22"/>
      <w:szCs w:val="20"/>
      <w:lang w:val="x-none"/>
    </w:rPr>
  </w:style>
  <w:style w:type="character" w:customStyle="1" w:styleId="BodyText2Char">
    <w:name w:val="Body Text 2 Char"/>
    <w:link w:val="BodyText2"/>
    <w:semiHidden/>
    <w:rsid w:val="004D6152"/>
    <w:rPr>
      <w:rFonts w:ascii="Gill Sans MT" w:eastAsia="Times New Roman" w:hAnsi="Gill Sans MT"/>
      <w:b/>
      <w:b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4D6152"/>
    <w:rPr>
      <w:rFonts w:ascii="Gill Sans MT" w:eastAsia="Times New Roman" w:hAnsi="Gill Sans MT"/>
      <w:i/>
      <w:iCs/>
      <w:sz w:val="22"/>
      <w:szCs w:val="20"/>
      <w:lang w:val="x-none"/>
    </w:rPr>
  </w:style>
  <w:style w:type="character" w:customStyle="1" w:styleId="BodyText3Char">
    <w:name w:val="Body Text 3 Char"/>
    <w:link w:val="BodyText3"/>
    <w:semiHidden/>
    <w:rsid w:val="004D6152"/>
    <w:rPr>
      <w:rFonts w:ascii="Gill Sans MT" w:eastAsia="Times New Roman" w:hAnsi="Gill Sans MT"/>
      <w:i/>
      <w:iCs/>
      <w:sz w:val="22"/>
      <w:lang w:eastAsia="en-US"/>
    </w:rPr>
  </w:style>
  <w:style w:type="character" w:customStyle="1" w:styleId="Heading1Char">
    <w:name w:val="Heading 1 Char"/>
    <w:link w:val="Heading1"/>
    <w:rsid w:val="004D6152"/>
    <w:rPr>
      <w:rFonts w:ascii="Times New Roman" w:eastAsia="Times New Roman" w:hAnsi="Times New Roman"/>
      <w:sz w:val="24"/>
      <w:lang w:eastAsia="en-US"/>
    </w:rPr>
  </w:style>
  <w:style w:type="paragraph" w:customStyle="1" w:styleId="BulletsChar">
    <w:name w:val="Bullets Char"/>
    <w:basedOn w:val="Normal"/>
    <w:rsid w:val="004D6152"/>
    <w:pPr>
      <w:tabs>
        <w:tab w:val="num" w:pos="851"/>
      </w:tabs>
      <w:spacing w:after="80"/>
      <w:ind w:left="851" w:hanging="284"/>
      <w:jc w:val="both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90621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C07C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778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D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6152"/>
    <w:pPr>
      <w:keepNext/>
      <w:jc w:val="center"/>
      <w:outlineLvl w:val="0"/>
    </w:pPr>
    <w:rPr>
      <w:rFonts w:ascii="Times New Roman" w:eastAsia="Times New Roman" w:hAnsi="Times New Roman"/>
      <w:szCs w:val="20"/>
      <w:lang w:val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EC"/>
  </w:style>
  <w:style w:type="paragraph" w:styleId="Footer">
    <w:name w:val="footer"/>
    <w:basedOn w:val="Normal"/>
    <w:link w:val="Foot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EC"/>
  </w:style>
  <w:style w:type="paragraph" w:styleId="BalloonText">
    <w:name w:val="Balloon Text"/>
    <w:basedOn w:val="Normal"/>
    <w:link w:val="BalloonTextChar"/>
    <w:uiPriority w:val="99"/>
    <w:semiHidden/>
    <w:unhideWhenUsed/>
    <w:rsid w:val="004D3F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F8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4D3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4D3F84"/>
    <w:rPr>
      <w:color w:val="0000FF"/>
      <w:u w:val="single"/>
    </w:rPr>
  </w:style>
  <w:style w:type="table" w:styleId="TableGrid">
    <w:name w:val="Table Grid"/>
    <w:basedOn w:val="TableNormal"/>
    <w:uiPriority w:val="59"/>
    <w:rsid w:val="000A7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semiHidden/>
    <w:rsid w:val="004D6152"/>
    <w:rPr>
      <w:rFonts w:ascii="Gill Sans MT" w:eastAsia="Times New Roman" w:hAnsi="Gill Sans MT"/>
      <w:b/>
      <w:bCs/>
      <w:sz w:val="22"/>
      <w:szCs w:val="20"/>
      <w:lang w:val="x-none"/>
    </w:rPr>
  </w:style>
  <w:style w:type="character" w:customStyle="1" w:styleId="BodyText2Char">
    <w:name w:val="Body Text 2 Char"/>
    <w:link w:val="BodyText2"/>
    <w:semiHidden/>
    <w:rsid w:val="004D6152"/>
    <w:rPr>
      <w:rFonts w:ascii="Gill Sans MT" w:eastAsia="Times New Roman" w:hAnsi="Gill Sans MT"/>
      <w:b/>
      <w:b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4D6152"/>
    <w:rPr>
      <w:rFonts w:ascii="Gill Sans MT" w:eastAsia="Times New Roman" w:hAnsi="Gill Sans MT"/>
      <w:i/>
      <w:iCs/>
      <w:sz w:val="22"/>
      <w:szCs w:val="20"/>
      <w:lang w:val="x-none"/>
    </w:rPr>
  </w:style>
  <w:style w:type="character" w:customStyle="1" w:styleId="BodyText3Char">
    <w:name w:val="Body Text 3 Char"/>
    <w:link w:val="BodyText3"/>
    <w:semiHidden/>
    <w:rsid w:val="004D6152"/>
    <w:rPr>
      <w:rFonts w:ascii="Gill Sans MT" w:eastAsia="Times New Roman" w:hAnsi="Gill Sans MT"/>
      <w:i/>
      <w:iCs/>
      <w:sz w:val="22"/>
      <w:lang w:eastAsia="en-US"/>
    </w:rPr>
  </w:style>
  <w:style w:type="character" w:customStyle="1" w:styleId="Heading1Char">
    <w:name w:val="Heading 1 Char"/>
    <w:link w:val="Heading1"/>
    <w:rsid w:val="004D6152"/>
    <w:rPr>
      <w:rFonts w:ascii="Times New Roman" w:eastAsia="Times New Roman" w:hAnsi="Times New Roman"/>
      <w:sz w:val="24"/>
      <w:lang w:eastAsia="en-US"/>
    </w:rPr>
  </w:style>
  <w:style w:type="paragraph" w:customStyle="1" w:styleId="BulletsChar">
    <w:name w:val="Bullets Char"/>
    <w:basedOn w:val="Normal"/>
    <w:rsid w:val="004D6152"/>
    <w:pPr>
      <w:tabs>
        <w:tab w:val="num" w:pos="851"/>
      </w:tabs>
      <w:spacing w:after="80"/>
      <w:ind w:left="851" w:hanging="284"/>
      <w:jc w:val="both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90621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C07C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778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eEEEraLcAKGousVjg+kq0DwnA==">AMUW2mVBET9EiQxvUdjTiFAoGXZ85E9GB0F71jEq51QPyEN41sGXna4MM4/a/UBzfIWZkms96Uu//LKIJFJznKZ8wDLORT3zIQRSjb6CLJSkjOM/kZ7kRdtLhbVOoOkVZQUijCsyqCNM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Saint</cp:lastModifiedBy>
  <cp:revision>2</cp:revision>
  <dcterms:created xsi:type="dcterms:W3CDTF">2021-05-05T14:57:00Z</dcterms:created>
  <dcterms:modified xsi:type="dcterms:W3CDTF">2021-05-05T14:57:00Z</dcterms:modified>
</cp:coreProperties>
</file>