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1"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2"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 xml:space="preserve">All cases will be examined on an individual basis and will take the following into </w:t>
      </w:r>
      <w:proofErr w:type="gramStart"/>
      <w:r w:rsidRPr="00E10721">
        <w:rPr>
          <w:rFonts w:ascii="Arial" w:hAnsi="Arial" w:cs="Arial"/>
          <w:spacing w:val="-2"/>
          <w:sz w:val="24"/>
          <w:szCs w:val="24"/>
        </w:rPr>
        <w:t>consideration</w:t>
      </w:r>
      <w:proofErr w:type="gramEnd"/>
      <w:r w:rsidRPr="00E10721">
        <w:rPr>
          <w:rFonts w:ascii="Arial" w:hAnsi="Arial" w:cs="Arial"/>
          <w:spacing w:val="-2"/>
          <w:sz w:val="24"/>
          <w:szCs w:val="24"/>
        </w:rPr>
        <w:t>:</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3"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4"/>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7804"/>
    <w:rsid w:val="000E37DB"/>
    <w:rsid w:val="000F0FDA"/>
    <w:rsid w:val="00221A65"/>
    <w:rsid w:val="002B3BE5"/>
    <w:rsid w:val="002F364F"/>
    <w:rsid w:val="003B2FB6"/>
    <w:rsid w:val="00474F32"/>
    <w:rsid w:val="004C0FB8"/>
    <w:rsid w:val="005B0653"/>
    <w:rsid w:val="005B4BA9"/>
    <w:rsid w:val="00613DBD"/>
    <w:rsid w:val="006A7B40"/>
    <w:rsid w:val="00916544"/>
    <w:rsid w:val="00943736"/>
    <w:rsid w:val="00986D31"/>
    <w:rsid w:val="009F55A7"/>
    <w:rsid w:val="009F65CE"/>
    <w:rsid w:val="00A918A1"/>
    <w:rsid w:val="00B43A8B"/>
    <w:rsid w:val="00B62D68"/>
    <w:rsid w:val="00B915F9"/>
    <w:rsid w:val="00BB5755"/>
    <w:rsid w:val="00C246DD"/>
    <w:rsid w:val="00C74F4D"/>
    <w:rsid w:val="00D01848"/>
    <w:rsid w:val="00D816C7"/>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data/files/practical-guidance-on-dbs-filtering-103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acro.org.uk/data/files/disclosing-criminal-records-a-nacro-guide-102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6D798-A90A-461B-9B83-D79D659E4F30}">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purl.org/dc/terms/"/>
    <ds:schemaRef ds:uri="9e5524cc-3fe4-4734-8168-f74083fbfd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Aisha Shafi</cp:lastModifiedBy>
  <cp:revision>2</cp:revision>
  <dcterms:created xsi:type="dcterms:W3CDTF">2017-10-05T13:01:00Z</dcterms:created>
  <dcterms:modified xsi:type="dcterms:W3CDTF">2017-10-05T13:01:00Z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