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0D36" w14:textId="2AA66FEB" w:rsidR="00F00435" w:rsidRDefault="00F00435">
      <w:pPr>
        <w:jc w:val="center"/>
        <w:rPr>
          <w:rFonts w:ascii="Century Gothic" w:hAnsi="Century Gothic" w:cstheme="minorHAnsi"/>
          <w:b/>
          <w:sz w:val="24"/>
          <w:szCs w:val="24"/>
        </w:rPr>
      </w:pPr>
      <w:r>
        <w:rPr>
          <w:rFonts w:ascii="Century Gothic" w:hAnsi="Century Gothic" w:cstheme="minorHAnsi"/>
          <w:b/>
          <w:noProof/>
          <w:sz w:val="24"/>
          <w:szCs w:val="24"/>
        </w:rPr>
        <w:drawing>
          <wp:anchor distT="0" distB="0" distL="114300" distR="114300" simplePos="0" relativeHeight="251658240" behindDoc="1" locked="0" layoutInCell="1" allowOverlap="1" wp14:anchorId="39FE6880" wp14:editId="372AFEF4">
            <wp:simplePos x="0" y="0"/>
            <wp:positionH relativeFrom="column">
              <wp:posOffset>1822450</wp:posOffset>
            </wp:positionH>
            <wp:positionV relativeFrom="paragraph">
              <wp:posOffset>0</wp:posOffset>
            </wp:positionV>
            <wp:extent cx="3169920" cy="481330"/>
            <wp:effectExtent l="0" t="0" r="0" b="0"/>
            <wp:wrapTight wrapText="bothSides">
              <wp:wrapPolygon edited="0">
                <wp:start x="0" y="0"/>
                <wp:lineTo x="0" y="18807"/>
                <wp:lineTo x="4024" y="20517"/>
                <wp:lineTo x="19861" y="20517"/>
                <wp:lineTo x="20899" y="20517"/>
                <wp:lineTo x="21418" y="20517"/>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9920" cy="481330"/>
                    </a:xfrm>
                    <a:prstGeom prst="rect">
                      <a:avLst/>
                    </a:prstGeom>
                    <a:noFill/>
                  </pic:spPr>
                </pic:pic>
              </a:graphicData>
            </a:graphic>
          </wp:anchor>
        </w:drawing>
      </w:r>
    </w:p>
    <w:p w14:paraId="176C13E7" w14:textId="77777777" w:rsidR="00F00435" w:rsidRDefault="00F00435">
      <w:pPr>
        <w:jc w:val="center"/>
        <w:rPr>
          <w:rFonts w:ascii="Century Gothic" w:hAnsi="Century Gothic" w:cstheme="minorHAnsi"/>
          <w:b/>
          <w:sz w:val="24"/>
          <w:szCs w:val="24"/>
        </w:rPr>
      </w:pPr>
    </w:p>
    <w:p w14:paraId="5CDB04DC" w14:textId="77777777" w:rsidR="00F00435" w:rsidRDefault="00F00435">
      <w:pPr>
        <w:jc w:val="center"/>
        <w:rPr>
          <w:rFonts w:ascii="Century Gothic" w:hAnsi="Century Gothic" w:cstheme="minorHAnsi"/>
          <w:b/>
          <w:sz w:val="24"/>
          <w:szCs w:val="24"/>
        </w:rPr>
      </w:pPr>
    </w:p>
    <w:p w14:paraId="5E61D98F" w14:textId="28443CBE" w:rsidR="00943309" w:rsidRPr="00F00435" w:rsidRDefault="00B62AFF">
      <w:pPr>
        <w:jc w:val="center"/>
        <w:rPr>
          <w:rFonts w:ascii="Century Gothic" w:hAnsi="Century Gothic" w:cstheme="minorHAnsi"/>
          <w:b/>
          <w:sz w:val="24"/>
          <w:szCs w:val="24"/>
        </w:rPr>
      </w:pPr>
      <w:r w:rsidRPr="00F00435">
        <w:rPr>
          <w:rFonts w:ascii="Century Gothic" w:hAnsi="Century Gothic" w:cstheme="minorHAnsi"/>
          <w:b/>
          <w:sz w:val="24"/>
          <w:szCs w:val="24"/>
        </w:rPr>
        <w:t xml:space="preserve">Teacher of </w:t>
      </w:r>
      <w:r w:rsidR="00661B9C" w:rsidRPr="00F00435">
        <w:rPr>
          <w:rFonts w:ascii="Century Gothic" w:hAnsi="Century Gothic" w:cstheme="minorHAnsi"/>
          <w:b/>
          <w:sz w:val="24"/>
          <w:szCs w:val="24"/>
        </w:rPr>
        <w:t>Food &amp; Nutrition</w:t>
      </w:r>
    </w:p>
    <w:p w14:paraId="6AE4324A" w14:textId="77777777" w:rsidR="00943309" w:rsidRPr="00F00435" w:rsidRDefault="00943309">
      <w:pPr>
        <w:rPr>
          <w:rFonts w:ascii="Century Gothic" w:hAnsi="Century Gothic" w:cstheme="minorHAnsi"/>
          <w:b/>
          <w:sz w:val="24"/>
          <w:szCs w:val="24"/>
        </w:rPr>
      </w:pPr>
    </w:p>
    <w:p w14:paraId="5FAA53C8" w14:textId="77777777" w:rsidR="00F00435" w:rsidRPr="00F00435" w:rsidRDefault="00F00435" w:rsidP="00F00435">
      <w:pPr>
        <w:rPr>
          <w:rFonts w:ascii="Century Gothic" w:hAnsi="Century Gothic" w:cstheme="minorHAnsi"/>
          <w:b/>
          <w:sz w:val="24"/>
        </w:rPr>
      </w:pPr>
      <w:r w:rsidRPr="00F00435">
        <w:rPr>
          <w:rFonts w:ascii="Century Gothic" w:hAnsi="Century Gothic" w:cstheme="minorHAnsi"/>
          <w:b/>
          <w:sz w:val="24"/>
        </w:rPr>
        <w:t>Teacher of Design Technology</w:t>
      </w:r>
    </w:p>
    <w:p w14:paraId="245D06FC" w14:textId="77777777" w:rsidR="00F00435" w:rsidRPr="00F00435" w:rsidRDefault="00F00435" w:rsidP="00F00435">
      <w:pPr>
        <w:rPr>
          <w:rFonts w:ascii="Century Gothic" w:hAnsi="Century Gothic" w:cstheme="minorHAnsi"/>
          <w:b/>
          <w:sz w:val="24"/>
        </w:rPr>
      </w:pPr>
      <w:r w:rsidRPr="00F00435">
        <w:rPr>
          <w:rFonts w:ascii="Century Gothic" w:hAnsi="Century Gothic" w:cstheme="minorHAnsi"/>
          <w:b/>
          <w:sz w:val="24"/>
        </w:rPr>
        <w:t>Full time, 1 Year Fixed Term</w:t>
      </w:r>
    </w:p>
    <w:p w14:paraId="1FE1B788" w14:textId="77777777" w:rsidR="00F00435" w:rsidRPr="00F00435" w:rsidRDefault="00F00435" w:rsidP="00F00435">
      <w:pPr>
        <w:rPr>
          <w:rFonts w:ascii="Century Gothic" w:hAnsi="Century Gothic" w:cstheme="minorHAnsi"/>
          <w:b/>
          <w:sz w:val="24"/>
        </w:rPr>
      </w:pPr>
      <w:r w:rsidRPr="00F00435">
        <w:rPr>
          <w:rFonts w:ascii="Century Gothic" w:hAnsi="Century Gothic" w:cstheme="minorHAnsi"/>
          <w:b/>
          <w:sz w:val="24"/>
        </w:rPr>
        <w:t>Teaching Scale – MPS / UPS</w:t>
      </w:r>
    </w:p>
    <w:p w14:paraId="314AA8E9" w14:textId="77777777" w:rsidR="00F00435" w:rsidRPr="00F00435" w:rsidRDefault="00F00435" w:rsidP="00F00435">
      <w:pPr>
        <w:rPr>
          <w:rFonts w:ascii="Century Gothic" w:hAnsi="Century Gothic" w:cstheme="minorHAnsi"/>
          <w:b/>
          <w:sz w:val="24"/>
        </w:rPr>
      </w:pPr>
      <w:r w:rsidRPr="00F00435">
        <w:rPr>
          <w:rFonts w:ascii="Century Gothic" w:hAnsi="Century Gothic" w:cstheme="minorHAnsi"/>
          <w:b/>
          <w:sz w:val="24"/>
        </w:rPr>
        <w:t xml:space="preserve">MPR1 £25,714 – UPR3 £41,604 </w:t>
      </w:r>
    </w:p>
    <w:p w14:paraId="183EB795" w14:textId="77777777" w:rsidR="00F00435" w:rsidRPr="00F00435" w:rsidRDefault="00F00435" w:rsidP="00F00435">
      <w:pPr>
        <w:rPr>
          <w:rFonts w:ascii="Century Gothic" w:hAnsi="Century Gothic" w:cstheme="minorHAnsi"/>
          <w:b/>
          <w:sz w:val="24"/>
        </w:rPr>
      </w:pPr>
      <w:r w:rsidRPr="00F00435">
        <w:rPr>
          <w:rFonts w:ascii="Century Gothic" w:hAnsi="Century Gothic" w:cstheme="minorHAnsi"/>
          <w:b/>
          <w:sz w:val="24"/>
        </w:rPr>
        <w:t>Start Date: September 2021</w:t>
      </w:r>
    </w:p>
    <w:p w14:paraId="3187BF8E" w14:textId="77777777" w:rsidR="00943309" w:rsidRPr="00F00435" w:rsidRDefault="00943309">
      <w:pPr>
        <w:rPr>
          <w:rFonts w:ascii="Century Gothic" w:hAnsi="Century Gothic" w:cstheme="minorHAnsi"/>
          <w:b/>
          <w:sz w:val="28"/>
          <w:szCs w:val="24"/>
          <w:u w:val="single"/>
        </w:rPr>
      </w:pPr>
    </w:p>
    <w:p w14:paraId="3FCC8360" w14:textId="77777777" w:rsidR="00943309" w:rsidRPr="00F00435" w:rsidRDefault="00176259">
      <w:pPr>
        <w:jc w:val="both"/>
        <w:rPr>
          <w:rFonts w:ascii="Century Gothic" w:hAnsi="Century Gothic" w:cstheme="minorHAnsi"/>
          <w:b/>
          <w:bCs/>
          <w:sz w:val="22"/>
          <w:szCs w:val="22"/>
          <w:u w:val="single"/>
        </w:rPr>
      </w:pPr>
      <w:r w:rsidRPr="00F00435">
        <w:rPr>
          <w:rFonts w:ascii="Century Gothic" w:hAnsi="Century Gothic" w:cstheme="minorHAnsi"/>
          <w:b/>
          <w:bCs/>
          <w:sz w:val="22"/>
          <w:szCs w:val="22"/>
          <w:u w:val="single"/>
        </w:rPr>
        <w:t>Information on the post</w:t>
      </w:r>
    </w:p>
    <w:p w14:paraId="23D8DD15" w14:textId="77777777" w:rsidR="00943309" w:rsidRPr="00F00435" w:rsidRDefault="00943309">
      <w:pPr>
        <w:jc w:val="both"/>
        <w:rPr>
          <w:rFonts w:ascii="Century Gothic" w:hAnsi="Century Gothic" w:cstheme="minorHAnsi"/>
          <w:sz w:val="22"/>
          <w:szCs w:val="22"/>
          <w:u w:val="single"/>
        </w:rPr>
      </w:pPr>
    </w:p>
    <w:p w14:paraId="51A634FC" w14:textId="77777777" w:rsidR="00943309" w:rsidRPr="00F00435" w:rsidRDefault="00176259">
      <w:pPr>
        <w:spacing w:after="160" w:line="259" w:lineRule="auto"/>
        <w:rPr>
          <w:rFonts w:ascii="Century Gothic" w:eastAsia="Arial" w:hAnsi="Century Gothic" w:cstheme="minorHAnsi"/>
          <w:sz w:val="22"/>
          <w:szCs w:val="22"/>
        </w:rPr>
      </w:pPr>
      <w:r w:rsidRPr="00F00435">
        <w:rPr>
          <w:rFonts w:ascii="Century Gothic" w:eastAsia="Arial" w:hAnsi="Century Gothic" w:cstheme="minorHAnsi"/>
          <w:sz w:val="22"/>
          <w:szCs w:val="22"/>
        </w:rPr>
        <w:t xml:space="preserve">We are beginning our new exciting future at Ormskirk School, in a sponsor arrangement with Endeavour Learning Trust, which is already providing opportunities for both our staff and students and transforming our school. </w:t>
      </w:r>
      <w:r w:rsidRPr="00F00435">
        <w:rPr>
          <w:rFonts w:ascii="Century Gothic" w:eastAsiaTheme="minorHAnsi" w:hAnsi="Century Gothic" w:cstheme="minorBidi"/>
          <w:sz w:val="22"/>
          <w:szCs w:val="22"/>
        </w:rPr>
        <w:t>In addition, the team of staff currently in place are optimistic and complet</w:t>
      </w:r>
      <w:bookmarkStart w:id="0" w:name="_GoBack"/>
      <w:bookmarkEnd w:id="0"/>
      <w:r w:rsidRPr="00F00435">
        <w:rPr>
          <w:rFonts w:ascii="Century Gothic" w:eastAsiaTheme="minorHAnsi" w:hAnsi="Century Gothic" w:cstheme="minorBidi"/>
          <w:sz w:val="22"/>
          <w:szCs w:val="22"/>
        </w:rPr>
        <w:t>ely committed to the rapid and sustainable improvements currently taking place, firmly rooted in the existing good practice already evident. This is a school that is going places.</w:t>
      </w:r>
    </w:p>
    <w:p w14:paraId="704B96E3" w14:textId="77777777" w:rsidR="00943309" w:rsidRPr="00F00435" w:rsidRDefault="00176259">
      <w:pPr>
        <w:spacing w:after="160" w:line="259" w:lineRule="auto"/>
        <w:rPr>
          <w:rFonts w:ascii="Century Gothic" w:eastAsiaTheme="minorHAnsi" w:hAnsi="Century Gothic" w:cstheme="minorHAnsi"/>
          <w:sz w:val="22"/>
          <w:szCs w:val="22"/>
        </w:rPr>
      </w:pPr>
      <w:r w:rsidRPr="00F00435">
        <w:rPr>
          <w:rFonts w:ascii="Century Gothic" w:eastAsiaTheme="minorHAnsi" w:hAnsi="Century Gothic" w:cstheme="minorHAnsi"/>
          <w:sz w:val="22"/>
          <w:szCs w:val="22"/>
        </w:rPr>
        <w:t xml:space="preserve">For our staff, we are firmly committed to ensuring this is a job that can be enjoyed, where everyone can flourish. We pay close attention to work/life balance and, across the Trust schools; we are constantly developing strategies that take a common-sense approach to those aspects of the role that could become an unnecessary burden on workload. </w:t>
      </w:r>
    </w:p>
    <w:p w14:paraId="1EE87F86" w14:textId="77777777" w:rsidR="00943309" w:rsidRPr="00F00435" w:rsidRDefault="00176259">
      <w:pPr>
        <w:spacing w:after="160" w:line="259" w:lineRule="auto"/>
        <w:rPr>
          <w:rFonts w:ascii="Century Gothic" w:eastAsiaTheme="minorHAnsi" w:hAnsi="Century Gothic" w:cstheme="minorHAnsi"/>
          <w:b/>
          <w:sz w:val="22"/>
          <w:szCs w:val="22"/>
        </w:rPr>
      </w:pPr>
      <w:r w:rsidRPr="00F00435">
        <w:rPr>
          <w:rFonts w:ascii="Century Gothic" w:eastAsiaTheme="minorHAnsi" w:hAnsi="Century Gothic" w:cstheme="minorHAnsi"/>
          <w:b/>
          <w:sz w:val="22"/>
          <w:szCs w:val="22"/>
        </w:rPr>
        <w:t>The Creatives Faculty</w:t>
      </w:r>
    </w:p>
    <w:p w14:paraId="5870F14C" w14:textId="77777777" w:rsidR="00943309" w:rsidRPr="00F00435" w:rsidRDefault="00176259">
      <w:pPr>
        <w:rPr>
          <w:rFonts w:ascii="Century Gothic" w:hAnsi="Century Gothic" w:cstheme="minorHAnsi"/>
          <w:iCs/>
          <w:sz w:val="22"/>
          <w:szCs w:val="22"/>
        </w:rPr>
      </w:pPr>
      <w:r w:rsidRPr="00F00435">
        <w:rPr>
          <w:rFonts w:ascii="Century Gothic" w:hAnsi="Century Gothic" w:cstheme="minorHAnsi"/>
          <w:sz w:val="22"/>
          <w:szCs w:val="22"/>
        </w:rPr>
        <w:t xml:space="preserve">Technology is part of the successful Creatives Faculty which is recently comprised and has four departments working together: Art, Drama, Music and Technology. Each has its own distinct identity but works collaboratively to share best practice and ensure that all our students flourish. All subjects within the faculty are well resourced; </w:t>
      </w:r>
      <w:r w:rsidRPr="00F00435">
        <w:rPr>
          <w:rFonts w:ascii="Century Gothic" w:hAnsi="Century Gothic" w:cstheme="minorHAnsi"/>
          <w:iCs/>
          <w:sz w:val="22"/>
          <w:szCs w:val="22"/>
        </w:rPr>
        <w:t>all classrooms are equipped with digital projectors and all staff have a laptop and an iPad.</w:t>
      </w:r>
    </w:p>
    <w:p w14:paraId="7FE5E498" w14:textId="77777777" w:rsidR="00943309" w:rsidRPr="00F00435" w:rsidRDefault="00943309">
      <w:pPr>
        <w:rPr>
          <w:rFonts w:ascii="Century Gothic" w:hAnsi="Century Gothic" w:cstheme="minorHAnsi"/>
          <w:iCs/>
          <w:sz w:val="22"/>
          <w:szCs w:val="22"/>
        </w:rPr>
      </w:pPr>
    </w:p>
    <w:p w14:paraId="317FA251" w14:textId="77777777" w:rsidR="00943309" w:rsidRPr="00F00435" w:rsidRDefault="00176259">
      <w:pPr>
        <w:rPr>
          <w:rFonts w:ascii="Century Gothic" w:hAnsi="Century Gothic" w:cstheme="minorHAnsi"/>
          <w:b/>
          <w:sz w:val="22"/>
          <w:szCs w:val="22"/>
          <w:u w:val="single"/>
        </w:rPr>
      </w:pPr>
      <w:r w:rsidRPr="00F00435">
        <w:rPr>
          <w:rFonts w:ascii="Century Gothic" w:hAnsi="Century Gothic" w:cstheme="minorHAnsi"/>
          <w:b/>
          <w:sz w:val="22"/>
          <w:szCs w:val="22"/>
          <w:u w:val="single"/>
        </w:rPr>
        <w:t xml:space="preserve">Technology Department – </w:t>
      </w:r>
    </w:p>
    <w:p w14:paraId="0882C416" w14:textId="77777777" w:rsidR="00943309" w:rsidRPr="00F00435" w:rsidRDefault="00943309">
      <w:pPr>
        <w:rPr>
          <w:rFonts w:ascii="Century Gothic" w:hAnsi="Century Gothic" w:cstheme="minorHAnsi"/>
          <w:sz w:val="22"/>
          <w:szCs w:val="22"/>
        </w:rPr>
      </w:pPr>
    </w:p>
    <w:p w14:paraId="1BA93E7C" w14:textId="77777777" w:rsidR="00943309" w:rsidRPr="00F00435" w:rsidRDefault="00176259">
      <w:pPr>
        <w:rPr>
          <w:rFonts w:ascii="Century Gothic" w:hAnsi="Century Gothic" w:cstheme="minorHAnsi"/>
          <w:sz w:val="22"/>
          <w:szCs w:val="22"/>
        </w:rPr>
      </w:pPr>
      <w:r w:rsidRPr="00F00435">
        <w:rPr>
          <w:rFonts w:ascii="Century Gothic" w:hAnsi="Century Gothic" w:cstheme="minorHAnsi"/>
          <w:sz w:val="22"/>
          <w:szCs w:val="22"/>
        </w:rPr>
        <w:t xml:space="preserve">The department currently consists of subject specialists in the following disciplines; Design Technology, Food Preparation and Nutrition, Health &amp; Social Care and Engineering. </w:t>
      </w:r>
    </w:p>
    <w:p w14:paraId="46CEE141" w14:textId="77777777" w:rsidR="001D3C22" w:rsidRPr="00F00435" w:rsidRDefault="001D3C22">
      <w:pPr>
        <w:rPr>
          <w:rFonts w:ascii="Century Gothic" w:hAnsi="Century Gothic" w:cstheme="minorHAnsi"/>
          <w:iCs/>
          <w:sz w:val="22"/>
          <w:szCs w:val="22"/>
        </w:rPr>
      </w:pPr>
    </w:p>
    <w:p w14:paraId="09A45C06" w14:textId="77777777" w:rsidR="00943309" w:rsidRPr="00F00435" w:rsidRDefault="00176259">
      <w:pPr>
        <w:rPr>
          <w:rFonts w:ascii="Century Gothic" w:hAnsi="Century Gothic" w:cstheme="minorHAnsi"/>
          <w:iCs/>
          <w:sz w:val="22"/>
          <w:szCs w:val="22"/>
        </w:rPr>
      </w:pPr>
      <w:r w:rsidRPr="00F00435">
        <w:rPr>
          <w:rFonts w:ascii="Century Gothic" w:hAnsi="Century Gothic" w:cstheme="minorHAnsi"/>
          <w:iCs/>
          <w:sz w:val="22"/>
          <w:szCs w:val="22"/>
        </w:rPr>
        <w:t xml:space="preserve">In Year 7 &amp; 8 students follow a ‘Creative Carousel’, a rotation in which they study Art, Design Technology, Computing, Drama, Food Technology and Music. </w:t>
      </w:r>
    </w:p>
    <w:p w14:paraId="016B0AC1" w14:textId="77777777" w:rsidR="00943309" w:rsidRPr="00F00435" w:rsidRDefault="00176259">
      <w:pPr>
        <w:rPr>
          <w:rFonts w:ascii="Century Gothic" w:hAnsi="Century Gothic" w:cstheme="minorHAnsi"/>
          <w:iCs/>
          <w:sz w:val="22"/>
          <w:szCs w:val="22"/>
        </w:rPr>
      </w:pPr>
      <w:r w:rsidRPr="00F00435">
        <w:rPr>
          <w:rFonts w:ascii="Century Gothic" w:hAnsi="Century Gothic" w:cstheme="minorHAnsi"/>
          <w:iCs/>
          <w:sz w:val="22"/>
          <w:szCs w:val="22"/>
        </w:rPr>
        <w:t>In Year 9 students are offered a choice to follow two of these subjects in a ‘taster year’ that allows in depth study and a preparation for potential study at GCSE.</w:t>
      </w:r>
    </w:p>
    <w:p w14:paraId="028846EA" w14:textId="77777777" w:rsidR="00943309" w:rsidRPr="00F00435" w:rsidRDefault="00943309">
      <w:pPr>
        <w:rPr>
          <w:rFonts w:ascii="Century Gothic" w:hAnsi="Century Gothic" w:cstheme="minorHAnsi"/>
          <w:iCs/>
          <w:sz w:val="22"/>
          <w:szCs w:val="22"/>
        </w:rPr>
      </w:pPr>
    </w:p>
    <w:p w14:paraId="41152659" w14:textId="5FCB1D9A" w:rsidR="00943309" w:rsidRPr="00F00435" w:rsidRDefault="00176259">
      <w:pPr>
        <w:rPr>
          <w:rFonts w:ascii="Century Gothic" w:hAnsi="Century Gothic" w:cstheme="minorHAnsi"/>
          <w:iCs/>
          <w:sz w:val="22"/>
          <w:szCs w:val="22"/>
        </w:rPr>
      </w:pPr>
      <w:r w:rsidRPr="00F00435">
        <w:rPr>
          <w:rFonts w:ascii="Century Gothic" w:hAnsi="Century Gothic" w:cstheme="minorHAnsi"/>
          <w:iCs/>
          <w:sz w:val="22"/>
          <w:szCs w:val="22"/>
        </w:rPr>
        <w:t>In Year 10 the options available for students are AQA Design Technology, Ede</w:t>
      </w:r>
      <w:r w:rsidR="001D3C22" w:rsidRPr="00F00435">
        <w:rPr>
          <w:rFonts w:ascii="Century Gothic" w:hAnsi="Century Gothic" w:cstheme="minorHAnsi"/>
          <w:iCs/>
          <w:sz w:val="22"/>
          <w:szCs w:val="22"/>
        </w:rPr>
        <w:t xml:space="preserve">xcel Health &amp; Social Care, AQA </w:t>
      </w:r>
      <w:r w:rsidRPr="00F00435">
        <w:rPr>
          <w:rFonts w:ascii="Century Gothic" w:hAnsi="Century Gothic" w:cstheme="minorHAnsi"/>
          <w:iCs/>
          <w:sz w:val="22"/>
          <w:szCs w:val="22"/>
        </w:rPr>
        <w:t>Food &amp; Nutrition</w:t>
      </w:r>
    </w:p>
    <w:p w14:paraId="636CF12B" w14:textId="77777777" w:rsidR="00943309" w:rsidRPr="00F00435" w:rsidRDefault="00943309">
      <w:pPr>
        <w:rPr>
          <w:rFonts w:ascii="Century Gothic" w:hAnsi="Century Gothic" w:cstheme="minorHAnsi"/>
          <w:iCs/>
          <w:sz w:val="22"/>
          <w:szCs w:val="22"/>
        </w:rPr>
      </w:pPr>
    </w:p>
    <w:p w14:paraId="656CDF20" w14:textId="77777777" w:rsidR="00943309" w:rsidRPr="00F00435" w:rsidRDefault="00176259">
      <w:pPr>
        <w:rPr>
          <w:rFonts w:ascii="Century Gothic" w:hAnsi="Century Gothic" w:cstheme="minorHAnsi"/>
          <w:iCs/>
          <w:sz w:val="22"/>
          <w:szCs w:val="22"/>
        </w:rPr>
      </w:pPr>
      <w:r w:rsidRPr="00F00435">
        <w:rPr>
          <w:rFonts w:ascii="Century Gothic" w:hAnsi="Century Gothic" w:cstheme="minorHAnsi"/>
          <w:iCs/>
          <w:sz w:val="22"/>
          <w:szCs w:val="22"/>
        </w:rPr>
        <w:t>In Year 11 the following subjects are being studied Edexcel Engineering, Edexcel Hospitality &amp; Catering and Edexcel Health &amp; Social Care.</w:t>
      </w:r>
    </w:p>
    <w:p w14:paraId="1CB8CD08" w14:textId="77777777" w:rsidR="00943309" w:rsidRPr="00F00435" w:rsidRDefault="00943309">
      <w:pPr>
        <w:rPr>
          <w:rFonts w:ascii="Century Gothic" w:hAnsi="Century Gothic" w:cstheme="minorHAnsi"/>
          <w:iCs/>
          <w:sz w:val="22"/>
          <w:szCs w:val="22"/>
        </w:rPr>
      </w:pPr>
    </w:p>
    <w:p w14:paraId="789E6FCA" w14:textId="77777777" w:rsidR="00943309" w:rsidRPr="00F00435" w:rsidRDefault="00176259">
      <w:pPr>
        <w:rPr>
          <w:rFonts w:ascii="Century Gothic" w:hAnsi="Century Gothic" w:cstheme="minorHAnsi"/>
          <w:iCs/>
          <w:sz w:val="22"/>
          <w:szCs w:val="22"/>
        </w:rPr>
      </w:pPr>
      <w:r w:rsidRPr="00F00435">
        <w:rPr>
          <w:rFonts w:ascii="Century Gothic" w:hAnsi="Century Gothic" w:cstheme="minorHAnsi"/>
          <w:iCs/>
          <w:sz w:val="22"/>
          <w:szCs w:val="22"/>
        </w:rPr>
        <w:t>At Key Stage 5 We currently offer Edexcel Health &amp; Social Care with a legacy class of Edexcel Engineering in y13.</w:t>
      </w:r>
    </w:p>
    <w:p w14:paraId="713387F3" w14:textId="77777777" w:rsidR="00943309" w:rsidRPr="00F00435" w:rsidRDefault="00943309">
      <w:pPr>
        <w:rPr>
          <w:rFonts w:ascii="Century Gothic" w:hAnsi="Century Gothic" w:cstheme="minorHAnsi"/>
          <w:iCs/>
          <w:sz w:val="22"/>
          <w:szCs w:val="22"/>
        </w:rPr>
      </w:pPr>
    </w:p>
    <w:p w14:paraId="60F360F3" w14:textId="305ACEB2" w:rsidR="00943309" w:rsidRPr="00F00435" w:rsidRDefault="00176259">
      <w:pPr>
        <w:rPr>
          <w:rFonts w:ascii="Century Gothic" w:hAnsi="Century Gothic" w:cstheme="minorHAnsi"/>
          <w:iCs/>
          <w:sz w:val="22"/>
          <w:szCs w:val="22"/>
        </w:rPr>
      </w:pPr>
      <w:r w:rsidRPr="00F00435">
        <w:rPr>
          <w:rFonts w:ascii="Century Gothic" w:hAnsi="Century Gothic" w:cstheme="minorHAnsi"/>
          <w:iCs/>
          <w:sz w:val="22"/>
          <w:szCs w:val="22"/>
        </w:rPr>
        <w:t xml:space="preserve">The successful candidate will have excellent knowledge of </w:t>
      </w:r>
      <w:r w:rsidR="00B62AFF" w:rsidRPr="00F00435">
        <w:rPr>
          <w:rFonts w:ascii="Century Gothic" w:hAnsi="Century Gothic" w:cstheme="minorHAnsi"/>
          <w:iCs/>
          <w:sz w:val="22"/>
          <w:szCs w:val="22"/>
        </w:rPr>
        <w:t xml:space="preserve">the National Curriculum for Design Technology: Cooking and Nutrition and the Food Preparation and Nutrition </w:t>
      </w:r>
      <w:r w:rsidRPr="00F00435">
        <w:rPr>
          <w:rFonts w:ascii="Century Gothic" w:hAnsi="Century Gothic" w:cstheme="minorHAnsi"/>
          <w:iCs/>
          <w:sz w:val="22"/>
          <w:szCs w:val="22"/>
        </w:rPr>
        <w:t xml:space="preserve">curricula at Key Stage </w:t>
      </w:r>
      <w:r w:rsidR="00B62AFF" w:rsidRPr="00F00435">
        <w:rPr>
          <w:rFonts w:ascii="Century Gothic" w:hAnsi="Century Gothic" w:cstheme="minorHAnsi"/>
          <w:iCs/>
          <w:sz w:val="22"/>
          <w:szCs w:val="22"/>
        </w:rPr>
        <w:t>4.</w:t>
      </w:r>
    </w:p>
    <w:p w14:paraId="73DB24DD" w14:textId="77777777" w:rsidR="00943309" w:rsidRPr="00F00435" w:rsidRDefault="00943309">
      <w:pPr>
        <w:rPr>
          <w:rFonts w:ascii="Century Gothic" w:hAnsi="Century Gothic" w:cstheme="minorHAnsi"/>
          <w:iCs/>
          <w:sz w:val="22"/>
          <w:szCs w:val="22"/>
        </w:rPr>
      </w:pPr>
    </w:p>
    <w:p w14:paraId="39222347" w14:textId="77777777" w:rsidR="00943309" w:rsidRPr="00F00435" w:rsidRDefault="00176259">
      <w:pPr>
        <w:rPr>
          <w:rFonts w:ascii="Century Gothic" w:hAnsi="Century Gothic" w:cstheme="minorHAnsi"/>
          <w:iCs/>
          <w:sz w:val="22"/>
          <w:szCs w:val="22"/>
        </w:rPr>
      </w:pPr>
      <w:r w:rsidRPr="00F00435">
        <w:rPr>
          <w:rFonts w:ascii="Century Gothic" w:hAnsi="Century Gothic" w:cstheme="minorHAnsi"/>
          <w:iCs/>
          <w:sz w:val="22"/>
          <w:szCs w:val="22"/>
        </w:rPr>
        <w:lastRenderedPageBreak/>
        <w:t xml:space="preserve">You should be able to motivate and challenge all our young people, irrespective of prior attainment, to fulfil their potential. </w:t>
      </w:r>
    </w:p>
    <w:p w14:paraId="6DB03155" w14:textId="77777777" w:rsidR="00943309" w:rsidRPr="00F00435" w:rsidRDefault="00943309">
      <w:pPr>
        <w:rPr>
          <w:rFonts w:ascii="Century Gothic" w:hAnsi="Century Gothic" w:cstheme="minorHAnsi"/>
          <w:iCs/>
          <w:sz w:val="22"/>
          <w:szCs w:val="22"/>
        </w:rPr>
      </w:pPr>
    </w:p>
    <w:p w14:paraId="1B618237" w14:textId="4C466147" w:rsidR="00943309" w:rsidRPr="00F00435" w:rsidRDefault="00176259">
      <w:pPr>
        <w:rPr>
          <w:rFonts w:ascii="Century Gothic" w:hAnsi="Century Gothic" w:cstheme="minorHAnsi"/>
          <w:iCs/>
          <w:sz w:val="22"/>
          <w:szCs w:val="22"/>
        </w:rPr>
      </w:pPr>
      <w:r w:rsidRPr="00F00435">
        <w:rPr>
          <w:rFonts w:ascii="Century Gothic" w:hAnsi="Century Gothic" w:cstheme="minorHAnsi"/>
          <w:iCs/>
          <w:sz w:val="22"/>
          <w:szCs w:val="22"/>
        </w:rPr>
        <w:t xml:space="preserve">If you would like to be part of our journey and feel you can contribute to the team ethos of our </w:t>
      </w:r>
      <w:r w:rsidR="00661B9C" w:rsidRPr="00F00435">
        <w:rPr>
          <w:rFonts w:ascii="Century Gothic" w:hAnsi="Century Gothic" w:cstheme="minorHAnsi"/>
          <w:iCs/>
          <w:sz w:val="22"/>
          <w:szCs w:val="22"/>
        </w:rPr>
        <w:t>Technology D</w:t>
      </w:r>
      <w:r w:rsidR="001D3C22" w:rsidRPr="00F00435">
        <w:rPr>
          <w:rFonts w:ascii="Century Gothic" w:hAnsi="Century Gothic" w:cstheme="minorHAnsi"/>
          <w:iCs/>
          <w:sz w:val="22"/>
          <w:szCs w:val="22"/>
        </w:rPr>
        <w:t xml:space="preserve">epartment </w:t>
      </w:r>
      <w:r w:rsidRPr="00F00435">
        <w:rPr>
          <w:rFonts w:ascii="Century Gothic" w:hAnsi="Century Gothic" w:cstheme="minorHAnsi"/>
          <w:iCs/>
          <w:sz w:val="22"/>
          <w:szCs w:val="22"/>
        </w:rPr>
        <w:t xml:space="preserve">and </w:t>
      </w:r>
      <w:r w:rsidR="00B62AFF" w:rsidRPr="00F00435">
        <w:rPr>
          <w:rFonts w:ascii="Century Gothic" w:hAnsi="Century Gothic" w:cstheme="minorHAnsi"/>
          <w:iCs/>
          <w:sz w:val="22"/>
          <w:szCs w:val="22"/>
        </w:rPr>
        <w:t>Creatives</w:t>
      </w:r>
      <w:r w:rsidRPr="00F00435">
        <w:rPr>
          <w:rFonts w:ascii="Century Gothic" w:hAnsi="Century Gothic" w:cstheme="minorHAnsi"/>
          <w:iCs/>
          <w:sz w:val="22"/>
          <w:szCs w:val="22"/>
        </w:rPr>
        <w:t xml:space="preserve"> Faculty, and to contribute to the wider life of the school then we would like to hear from you. </w:t>
      </w:r>
    </w:p>
    <w:p w14:paraId="06CD4709" w14:textId="77777777" w:rsidR="00943309" w:rsidRPr="00F00435" w:rsidRDefault="00943309">
      <w:pPr>
        <w:rPr>
          <w:rFonts w:ascii="Century Gothic" w:hAnsi="Century Gothic" w:cstheme="minorHAnsi"/>
          <w:iCs/>
          <w:sz w:val="22"/>
          <w:szCs w:val="22"/>
        </w:rPr>
      </w:pPr>
    </w:p>
    <w:p w14:paraId="0C2AC996" w14:textId="77777777" w:rsidR="00943309" w:rsidRPr="00F00435" w:rsidRDefault="00176259">
      <w:pPr>
        <w:rPr>
          <w:rFonts w:ascii="Century Gothic" w:hAnsi="Century Gothic" w:cstheme="minorHAnsi"/>
          <w:sz w:val="22"/>
          <w:szCs w:val="22"/>
        </w:rPr>
      </w:pPr>
      <w:r w:rsidRPr="00F00435">
        <w:rPr>
          <w:rFonts w:ascii="Century Gothic" w:hAnsi="Century Gothic" w:cstheme="minorHAnsi"/>
          <w:sz w:val="22"/>
          <w:szCs w:val="22"/>
        </w:rPr>
        <w:t xml:space="preserve">In return we offer supportive and dynamic leadership at all levels, a positive learning environment, on-going professional development and the opportunity to make a difference; working in a thriving school with wonderful young people, of whom we are very proud. </w:t>
      </w:r>
    </w:p>
    <w:p w14:paraId="60844480" w14:textId="77777777" w:rsidR="00943309" w:rsidRPr="00F00435" w:rsidRDefault="00943309">
      <w:pPr>
        <w:rPr>
          <w:rFonts w:ascii="Century Gothic" w:hAnsi="Century Gothic" w:cstheme="minorHAnsi"/>
          <w:b/>
          <w:sz w:val="22"/>
          <w:szCs w:val="22"/>
          <w:u w:val="single"/>
        </w:rPr>
      </w:pPr>
    </w:p>
    <w:p w14:paraId="4D44C781" w14:textId="77777777" w:rsidR="00943309" w:rsidRPr="00F00435" w:rsidRDefault="00943309">
      <w:pPr>
        <w:jc w:val="both"/>
        <w:rPr>
          <w:rFonts w:ascii="Century Gothic" w:hAnsi="Century Gothic" w:cstheme="minorHAnsi"/>
          <w:b/>
          <w:bCs/>
          <w:sz w:val="22"/>
          <w:szCs w:val="22"/>
          <w:u w:val="single"/>
        </w:rPr>
      </w:pPr>
    </w:p>
    <w:sectPr w:rsidR="00943309" w:rsidRPr="00F00435" w:rsidSect="00F004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7154"/>
    <w:multiLevelType w:val="hybridMultilevel"/>
    <w:tmpl w:val="DEFC1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09"/>
    <w:rsid w:val="00176259"/>
    <w:rsid w:val="001D3C22"/>
    <w:rsid w:val="00661B9C"/>
    <w:rsid w:val="00943309"/>
    <w:rsid w:val="00B62AFF"/>
    <w:rsid w:val="00F0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D6F3C1"/>
  <w15:chartTrackingRefBased/>
  <w15:docId w15:val="{44CFD925-78F7-45EF-8252-B9705640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200" w:after="200" w:line="276" w:lineRule="auto"/>
      <w:ind w:left="720"/>
      <w:contextualSpacing/>
    </w:pPr>
    <w:rPr>
      <w:rFonts w:asciiTheme="minorHAnsi" w:eastAsiaTheme="minorEastAsia" w:hAnsiTheme="minorHAnsi" w:cstheme="minorBidi"/>
      <w:lang w:val="en-US" w:bidi="en-US"/>
    </w:rPr>
  </w:style>
  <w:style w:type="character" w:styleId="Hyperlink">
    <w:name w:val="Hyperlink"/>
    <w:basedOn w:val="DefaultParagraphFont"/>
    <w:rsid w:val="00F00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00324">
      <w:bodyDiv w:val="1"/>
      <w:marLeft w:val="0"/>
      <w:marRight w:val="0"/>
      <w:marTop w:val="0"/>
      <w:marBottom w:val="0"/>
      <w:divBdr>
        <w:top w:val="none" w:sz="0" w:space="0" w:color="auto"/>
        <w:left w:val="none" w:sz="0" w:space="0" w:color="auto"/>
        <w:bottom w:val="none" w:sz="0" w:space="0" w:color="auto"/>
        <w:right w:val="none" w:sz="0" w:space="0" w:color="auto"/>
      </w:divBdr>
    </w:div>
    <w:div w:id="417287823">
      <w:bodyDiv w:val="1"/>
      <w:marLeft w:val="0"/>
      <w:marRight w:val="0"/>
      <w:marTop w:val="0"/>
      <w:marBottom w:val="0"/>
      <w:divBdr>
        <w:top w:val="none" w:sz="0" w:space="0" w:color="auto"/>
        <w:left w:val="none" w:sz="0" w:space="0" w:color="auto"/>
        <w:bottom w:val="none" w:sz="0" w:space="0" w:color="auto"/>
        <w:right w:val="none" w:sz="0" w:space="0" w:color="auto"/>
      </w:divBdr>
    </w:div>
    <w:div w:id="5393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2" ma:contentTypeDescription="Create a new document." ma:contentTypeScope="" ma:versionID="dafbdf42bc4fb90b0ed614d63db44cb7">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576028ef294788680db30d58627fddab"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0237B-805A-4311-847C-DB2FB5FF9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9F7F6-63AB-4D19-B88A-A124D04CA77A}">
  <ds:schemaRefs>
    <ds:schemaRef ds:uri="http://schemas.microsoft.com/sharepoint/v3/contenttype/forms"/>
  </ds:schemaRefs>
</ds:datastoreItem>
</file>

<file path=customXml/itemProps3.xml><?xml version="1.0" encoding="utf-8"?>
<ds:datastoreItem xmlns:ds="http://schemas.openxmlformats.org/officeDocument/2006/customXml" ds:itemID="{A74F06E2-F4E8-455A-86CC-0027B2E5842E}">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299ecf2b-1725-4e49-9969-56b667762bc7"/>
    <ds:schemaRef ds:uri="http://schemas.microsoft.com/office/infopath/2007/PartnerControls"/>
    <ds:schemaRef ds:uri="6a394e51-fdb8-45b5-8ae9-ee754cc5646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Ormskirk School</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Harwood</dc:creator>
  <cp:keywords/>
  <dc:description/>
  <cp:lastModifiedBy>L Sergeant</cp:lastModifiedBy>
  <cp:revision>4</cp:revision>
  <dcterms:created xsi:type="dcterms:W3CDTF">2021-05-14T13:17:00Z</dcterms:created>
  <dcterms:modified xsi:type="dcterms:W3CDTF">2021-05-14T21:19:00Z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ies>
</file>