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4E" w:rsidRDefault="00DD5E4E">
      <w:pPr>
        <w:rPr>
          <w:rFonts w:ascii="Arial" w:eastAsia="Arial" w:hAnsi="Arial" w:cs="Arial"/>
          <w:sz w:val="22"/>
          <w:szCs w:val="22"/>
        </w:rPr>
      </w:pPr>
      <w:bookmarkStart w:id="0" w:name="_GoBack"/>
      <w:bookmarkEnd w:id="0"/>
    </w:p>
    <w:p w:rsidR="00DD5E4E" w:rsidRDefault="004066EA">
      <w:pPr>
        <w:pBdr>
          <w:top w:val="single" w:sz="4" w:space="1" w:color="000000"/>
          <w:left w:val="single" w:sz="4" w:space="4" w:color="000000"/>
          <w:bottom w:val="single" w:sz="4" w:space="1" w:color="000000"/>
          <w:right w:val="single" w:sz="4" w:space="4" w:color="000000"/>
          <w:between w:val="nil"/>
        </w:pBdr>
        <w:shd w:val="clear" w:color="auto" w:fill="B3B3B3"/>
        <w:spacing w:line="360" w:lineRule="auto"/>
        <w:jc w:val="center"/>
        <w:rPr>
          <w:rFonts w:ascii="Arial" w:eastAsia="Arial" w:hAnsi="Arial" w:cs="Arial"/>
          <w:b/>
          <w:color w:val="000000"/>
          <w:sz w:val="36"/>
          <w:szCs w:val="36"/>
        </w:rPr>
      </w:pPr>
      <w:r>
        <w:rPr>
          <w:rFonts w:ascii="Arial" w:eastAsia="Arial" w:hAnsi="Arial" w:cs="Arial"/>
          <w:b/>
          <w:color w:val="000000"/>
          <w:sz w:val="36"/>
          <w:szCs w:val="36"/>
        </w:rPr>
        <w:t xml:space="preserve">CHENEY SCHOOL – PERSON SPECIFICATION </w:t>
      </w:r>
    </w:p>
    <w:p w:rsidR="00DD5E4E" w:rsidRDefault="00DD5E4E">
      <w:pPr>
        <w:jc w:val="both"/>
        <w:rPr>
          <w:rFonts w:ascii="Arial" w:eastAsia="Arial" w:hAnsi="Arial" w:cs="Arial"/>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6162"/>
      </w:tblGrid>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Job Title</w:t>
            </w:r>
          </w:p>
        </w:tc>
        <w:tc>
          <w:tcPr>
            <w:tcW w:w="6162" w:type="dxa"/>
          </w:tcPr>
          <w:p w:rsidR="00DD5E4E" w:rsidRDefault="005D0493" w:rsidP="005D0493">
            <w:pPr>
              <w:tabs>
                <w:tab w:val="left" w:pos="1701"/>
                <w:tab w:val="left" w:pos="4820"/>
                <w:tab w:val="left" w:pos="7371"/>
              </w:tabs>
              <w:spacing w:before="120" w:after="120"/>
              <w:jc w:val="both"/>
              <w:rPr>
                <w:rFonts w:ascii="Arial" w:eastAsia="Arial" w:hAnsi="Arial" w:cs="Arial"/>
                <w:sz w:val="22"/>
                <w:szCs w:val="22"/>
              </w:rPr>
            </w:pPr>
            <w:r>
              <w:rPr>
                <w:rFonts w:ascii="Arial" w:eastAsia="Arial" w:hAnsi="Arial" w:cs="Arial"/>
                <w:sz w:val="22"/>
                <w:szCs w:val="22"/>
              </w:rPr>
              <w:t>Teacher of Physics</w:t>
            </w:r>
          </w:p>
        </w:tc>
      </w:tr>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Faculty</w:t>
            </w:r>
          </w:p>
        </w:tc>
        <w:tc>
          <w:tcPr>
            <w:tcW w:w="6162" w:type="dxa"/>
          </w:tcPr>
          <w:p w:rsidR="00DD5E4E" w:rsidRDefault="004066EA">
            <w:pPr>
              <w:tabs>
                <w:tab w:val="left" w:pos="1701"/>
                <w:tab w:val="left" w:pos="4820"/>
                <w:tab w:val="left" w:pos="7371"/>
              </w:tabs>
              <w:spacing w:before="120" w:after="120"/>
              <w:jc w:val="both"/>
              <w:rPr>
                <w:rFonts w:ascii="Arial" w:eastAsia="Arial" w:hAnsi="Arial" w:cs="Arial"/>
                <w:sz w:val="22"/>
                <w:szCs w:val="22"/>
              </w:rPr>
            </w:pPr>
            <w:r>
              <w:rPr>
                <w:rFonts w:ascii="Arial" w:eastAsia="Arial" w:hAnsi="Arial" w:cs="Arial"/>
                <w:sz w:val="22"/>
                <w:szCs w:val="22"/>
              </w:rPr>
              <w:t xml:space="preserve">Faculty of Science </w:t>
            </w:r>
          </w:p>
        </w:tc>
      </w:tr>
      <w:tr w:rsidR="00DD5E4E">
        <w:trPr>
          <w:trHeight w:val="520"/>
        </w:trPr>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Reporting to</w:t>
            </w:r>
          </w:p>
        </w:tc>
        <w:tc>
          <w:tcPr>
            <w:tcW w:w="6162" w:type="dxa"/>
          </w:tcPr>
          <w:p w:rsidR="00DD5E4E" w:rsidRDefault="004066EA">
            <w:pPr>
              <w:tabs>
                <w:tab w:val="left" w:pos="1701"/>
                <w:tab w:val="left" w:pos="4820"/>
                <w:tab w:val="left" w:pos="7371"/>
              </w:tabs>
              <w:spacing w:before="120" w:after="120"/>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Head of Faculty </w:t>
            </w:r>
          </w:p>
        </w:tc>
      </w:tr>
      <w:tr w:rsidR="00DD5E4E">
        <w:tc>
          <w:tcPr>
            <w:tcW w:w="2134" w:type="dxa"/>
          </w:tcPr>
          <w:p w:rsidR="00DD5E4E" w:rsidRDefault="004066EA">
            <w:pPr>
              <w:tabs>
                <w:tab w:val="left" w:pos="1701"/>
                <w:tab w:val="left" w:pos="4820"/>
                <w:tab w:val="left" w:pos="7371"/>
              </w:tabs>
              <w:spacing w:before="120" w:after="120"/>
              <w:jc w:val="both"/>
              <w:rPr>
                <w:rFonts w:ascii="Arial" w:eastAsia="Arial" w:hAnsi="Arial" w:cs="Arial"/>
                <w:b/>
                <w:sz w:val="22"/>
                <w:szCs w:val="22"/>
              </w:rPr>
            </w:pPr>
            <w:r>
              <w:rPr>
                <w:rFonts w:ascii="Arial" w:eastAsia="Arial" w:hAnsi="Arial" w:cs="Arial"/>
                <w:b/>
                <w:sz w:val="22"/>
                <w:szCs w:val="22"/>
              </w:rPr>
              <w:t>Grade</w:t>
            </w:r>
          </w:p>
        </w:tc>
        <w:tc>
          <w:tcPr>
            <w:tcW w:w="6162" w:type="dxa"/>
          </w:tcPr>
          <w:p w:rsidR="00DD5E4E" w:rsidRDefault="004066EA">
            <w:pPr>
              <w:tabs>
                <w:tab w:val="left" w:pos="1701"/>
                <w:tab w:val="left" w:pos="4820"/>
                <w:tab w:val="left" w:pos="7371"/>
              </w:tabs>
              <w:spacing w:before="120" w:after="120"/>
              <w:rPr>
                <w:rFonts w:ascii="Arial" w:eastAsia="Arial" w:hAnsi="Arial" w:cs="Arial"/>
                <w:sz w:val="22"/>
                <w:szCs w:val="22"/>
              </w:rPr>
            </w:pPr>
            <w:r>
              <w:rPr>
                <w:rFonts w:ascii="Arial" w:eastAsia="Arial" w:hAnsi="Arial" w:cs="Arial"/>
                <w:sz w:val="22"/>
                <w:szCs w:val="22"/>
              </w:rPr>
              <w:t>MPS or UPS</w:t>
            </w:r>
          </w:p>
        </w:tc>
      </w:tr>
    </w:tbl>
    <w:p w:rsidR="00DD5E4E" w:rsidRDefault="00DD5E4E">
      <w:pPr>
        <w:rPr>
          <w:rFonts w:ascii="Arial" w:eastAsia="Arial" w:hAnsi="Arial" w:cs="Arial"/>
          <w:sz w:val="22"/>
          <w:szCs w:val="22"/>
        </w:rPr>
      </w:pP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1"/>
        <w:gridCol w:w="2965"/>
        <w:gridCol w:w="1660"/>
      </w:tblGrid>
      <w:tr w:rsidR="00DD5E4E">
        <w:tc>
          <w:tcPr>
            <w:tcW w:w="3671"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Essential</w:t>
            </w:r>
          </w:p>
        </w:tc>
        <w:tc>
          <w:tcPr>
            <w:tcW w:w="2965"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Desirable</w:t>
            </w:r>
          </w:p>
        </w:tc>
        <w:tc>
          <w:tcPr>
            <w:tcW w:w="1660" w:type="dxa"/>
            <w:shd w:val="clear" w:color="auto" w:fill="D9D9D9"/>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Evidence</w:t>
            </w: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Qualifications and experience:</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First degree.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Qualified teacher status.</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A continued commitment to own professional development.</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Teaching experience (including training practice) within the designated age range.</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Understanding of child-safeguarding issues and successful measures that promote and ensure the safe-guarding of children.</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Knowledge of current legislation, guidance and developments relating to the subject area.</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Successful practice in accordance with the specified teaching standards 2012 (as identified below).</w:t>
            </w:r>
          </w:p>
        </w:tc>
        <w:tc>
          <w:tcPr>
            <w:tcW w:w="2965"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Degree in a science-related subject.</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Involvement in and organisation of wider school activities, including extra-curricular activities.</w:t>
            </w: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Certificates</w:t>
            </w:r>
          </w:p>
          <w:p w:rsidR="00DD5E4E" w:rsidRDefault="004066EA">
            <w:pPr>
              <w:rPr>
                <w:rFonts w:ascii="Arial" w:eastAsia="Arial" w:hAnsi="Arial" w:cs="Arial"/>
                <w:sz w:val="22"/>
                <w:szCs w:val="22"/>
              </w:rPr>
            </w:pPr>
            <w:r>
              <w:rPr>
                <w:rFonts w:ascii="Arial" w:eastAsia="Arial" w:hAnsi="Arial" w:cs="Arial"/>
                <w:sz w:val="22"/>
                <w:szCs w:val="22"/>
              </w:rPr>
              <w:t>References</w:t>
            </w: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Sets high expectations and inspires, motivates and challenges all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Establishing a safe and stimulating environment for pupils, rooted in mutual </w:t>
            </w:r>
            <w:r>
              <w:rPr>
                <w:rFonts w:ascii="Arial" w:eastAsia="Arial" w:hAnsi="Arial" w:cs="Arial"/>
                <w:color w:val="000000"/>
                <w:sz w:val="22"/>
                <w:szCs w:val="22"/>
              </w:rPr>
              <w:lastRenderedPageBreak/>
              <w:t xml:space="preserve">respect.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Setting goals that stretch and challenge pupils of all backgrounds, abilities and dispositions.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Demonstrating consistently, the positive attitudes, values and behaviour which are expected of pupils.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lastRenderedPageBreak/>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lastRenderedPageBreak/>
              <w:t>Promotes good progress and outcomes by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Being accountable for pupils’ attainment, progress and outcomes.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Being aware of pupils’ capabilities and their prior knowledge, and plan teaching to build on these.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Guiding pupils to reflect on the progress they have made and their emerging needs.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Demonstrating knowledge and understanding of how pupils learn and how this impacts on teaching.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Encouraging pupils to take a responsible and conscientious attitude to their own work and study.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r>
              <w:rPr>
                <w:rFonts w:ascii="Arial" w:eastAsia="Arial" w:hAnsi="Arial" w:cs="Arial"/>
                <w:sz w:val="22"/>
                <w:szCs w:val="22"/>
              </w:rPr>
              <w:br/>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Demonstrates good subject and curriculum knowledge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a secure knowledge of the relevant subject(s) and curriculum areas, fostering and maintaining pupils’ interest in the subject, and addressing misunderstandings.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 critical understanding of developments in the </w:t>
            </w:r>
            <w:r>
              <w:rPr>
                <w:rFonts w:ascii="Arial" w:eastAsia="Arial" w:hAnsi="Arial" w:cs="Arial"/>
                <w:color w:val="000000"/>
                <w:sz w:val="22"/>
                <w:szCs w:val="22"/>
              </w:rPr>
              <w:lastRenderedPageBreak/>
              <w:t xml:space="preserve">subject and curriculum areas, and promoting the value of scholarship.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an understanding of and taking responsibility for promoting high standards of literacy, articulacy and the correct use of standard English, whatever the teacher’s specialist subject. </w:t>
            </w:r>
          </w:p>
        </w:tc>
        <w:tc>
          <w:tcPr>
            <w:tcW w:w="2965"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lastRenderedPageBreak/>
              <w:t>Having a secure knowledge of GCSE and A level curricula for physics and/or chemistry</w:t>
            </w:r>
          </w:p>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lastRenderedPageBreak/>
              <w:t>Plan and teach well-structured lessons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Imparting knowledge and developing understanding through effective use of lesson time.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Promoting a love of learning and children’s intellectual curiosity.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Setting homework and planning other out-of-class activities to consolidate and extend the knowledge and understanding pupils have acquired.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Reflecting systematically on the effectiveness of lessons and approaches to teaching.</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Contributing to the design and provision of an engaging curriculum within the relevant subject area(s).</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Adapt teaching to respond to the strengths and needs of all pupils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Knowing when and how to differentiate appropriately, using approaches which enable pupils to be taught effectively.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lastRenderedPageBreak/>
              <w:t xml:space="preserve">Having a secure understanding of how a range of factors can inhibit pupils’ ability to learn, and how best to overcome these.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Demonstrating an awareness of the physical, social and intellectual development of children, and knowing how to adapt teaching to support pupils’ education at different stages of development.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lastRenderedPageBreak/>
              <w:t>Make accurate and productive use of assessment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Knowing and understanding how to assess the relevant subject and curriculum areas, including statutory assessment requirements.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Making use of formative and summative assessment to secure pupils’ progress.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Using relevant data to monitor progress, set targets, and plan subsequent lessons.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 xml:space="preserve">Giving pupils regular </w:t>
            </w:r>
            <w:r>
              <w:rPr>
                <w:rFonts w:ascii="Arial" w:eastAsia="Arial" w:hAnsi="Arial" w:cs="Arial"/>
                <w:color w:val="000000"/>
                <w:sz w:val="22"/>
                <w:szCs w:val="22"/>
              </w:rPr>
              <w:lastRenderedPageBreak/>
              <w:t>feedback, both orally and through accurate marking, and encouraging pupils to respond to the feedback.</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lastRenderedPageBreak/>
              <w:t>Manage behaviour effectively to ensure a good and safe learning environment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Having high expectations of behaviour, and establishing a framework for discipline with a range of strategies, using praise, sanctions and rewards consistently and fairly.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Managing classes effectively, using approaches which are appropriate to pupils’ needs in order to involve and motivate them.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Maintaining good relationships with pupils, exercising appropriate authority, and acting decisively when necessary. </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r w:rsidR="00DD5E4E">
        <w:tc>
          <w:tcPr>
            <w:tcW w:w="8296" w:type="dxa"/>
            <w:gridSpan w:val="3"/>
            <w:shd w:val="clear" w:color="auto" w:fill="auto"/>
          </w:tcPr>
          <w:p w:rsidR="00DD5E4E" w:rsidRDefault="004066EA">
            <w:pPr>
              <w:pStyle w:val="Heading1"/>
              <w:keepNext w:val="0"/>
              <w:widowControl w:val="0"/>
              <w:numPr>
                <w:ilvl w:val="0"/>
                <w:numId w:val="2"/>
              </w:numPr>
              <w:rPr>
                <w:rFonts w:ascii="Arial" w:eastAsia="Arial" w:hAnsi="Arial" w:cs="Arial"/>
                <w:sz w:val="22"/>
                <w:szCs w:val="22"/>
              </w:rPr>
            </w:pPr>
            <w:r>
              <w:rPr>
                <w:rFonts w:ascii="Arial" w:eastAsia="Arial" w:hAnsi="Arial" w:cs="Arial"/>
                <w:sz w:val="22"/>
                <w:szCs w:val="22"/>
              </w:rPr>
              <w:t>Fulfil wider professional responsibilities by:</w:t>
            </w:r>
          </w:p>
        </w:tc>
      </w:tr>
      <w:tr w:rsidR="00DD5E4E">
        <w:tc>
          <w:tcPr>
            <w:tcW w:w="3671" w:type="dxa"/>
            <w:shd w:val="clear" w:color="auto" w:fill="auto"/>
          </w:tcPr>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Making a positive contribution to the wider life and ethos of the school.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Developing effective professional relationships with colleagues, knowing how and when to draw on </w:t>
            </w:r>
            <w:r>
              <w:rPr>
                <w:rFonts w:ascii="Arial" w:eastAsia="Arial" w:hAnsi="Arial" w:cs="Arial"/>
                <w:color w:val="000000"/>
                <w:sz w:val="22"/>
                <w:szCs w:val="22"/>
              </w:rPr>
              <w:lastRenderedPageBreak/>
              <w:t xml:space="preserve">advice and specialist support deploying support staff effectively. </w:t>
            </w:r>
          </w:p>
          <w:p w:rsidR="00DD5E4E" w:rsidRDefault="004066EA">
            <w:pPr>
              <w:widowControl w:val="0"/>
              <w:numPr>
                <w:ilvl w:val="0"/>
                <w:numId w:val="1"/>
              </w:numPr>
              <w:pBdr>
                <w:top w:val="nil"/>
                <w:left w:val="nil"/>
                <w:bottom w:val="nil"/>
                <w:right w:val="nil"/>
                <w:between w:val="nil"/>
              </w:pBdr>
              <w:spacing w:after="240" w:line="280" w:lineRule="auto"/>
              <w:rPr>
                <w:b/>
                <w:color w:val="000000"/>
                <w:sz w:val="22"/>
                <w:szCs w:val="22"/>
              </w:rPr>
            </w:pPr>
            <w:r>
              <w:rPr>
                <w:rFonts w:ascii="Arial" w:eastAsia="Arial" w:hAnsi="Arial" w:cs="Arial"/>
                <w:color w:val="000000"/>
                <w:sz w:val="22"/>
                <w:szCs w:val="22"/>
              </w:rPr>
              <w:t xml:space="preserve">Taking responsibility for improving teaching through appropriate professional development, responding to advice and feedback from colleagues. </w:t>
            </w:r>
          </w:p>
          <w:p w:rsidR="00DD5E4E" w:rsidRDefault="004066EA">
            <w:pPr>
              <w:widowControl w:val="0"/>
              <w:numPr>
                <w:ilvl w:val="0"/>
                <w:numId w:val="1"/>
              </w:numPr>
              <w:pBdr>
                <w:top w:val="nil"/>
                <w:left w:val="nil"/>
                <w:bottom w:val="nil"/>
                <w:right w:val="nil"/>
                <w:between w:val="nil"/>
              </w:pBdr>
              <w:spacing w:after="240" w:line="280" w:lineRule="auto"/>
              <w:rPr>
                <w:color w:val="000000"/>
                <w:sz w:val="22"/>
                <w:szCs w:val="22"/>
              </w:rPr>
            </w:pPr>
            <w:r>
              <w:rPr>
                <w:rFonts w:ascii="Arial" w:eastAsia="Arial" w:hAnsi="Arial" w:cs="Arial"/>
                <w:color w:val="000000"/>
                <w:sz w:val="22"/>
                <w:szCs w:val="22"/>
              </w:rPr>
              <w:t>Communicating effectively with parents with regard to pupils’ achievements and well-being.</w:t>
            </w:r>
          </w:p>
        </w:tc>
        <w:tc>
          <w:tcPr>
            <w:tcW w:w="2965" w:type="dxa"/>
            <w:shd w:val="clear" w:color="auto" w:fill="auto"/>
          </w:tcPr>
          <w:p w:rsidR="00DD5E4E" w:rsidRDefault="00DD5E4E">
            <w:pPr>
              <w:widowControl w:val="0"/>
              <w:rPr>
                <w:rFonts w:ascii="Arial" w:eastAsia="Arial" w:hAnsi="Arial" w:cs="Arial"/>
                <w:sz w:val="22"/>
                <w:szCs w:val="22"/>
              </w:rPr>
            </w:pPr>
          </w:p>
        </w:tc>
        <w:tc>
          <w:tcPr>
            <w:tcW w:w="1660" w:type="dxa"/>
            <w:shd w:val="clear" w:color="auto" w:fill="auto"/>
          </w:tcPr>
          <w:p w:rsidR="00DD5E4E" w:rsidRDefault="004066EA">
            <w:pPr>
              <w:rPr>
                <w:rFonts w:ascii="Arial" w:eastAsia="Arial" w:hAnsi="Arial" w:cs="Arial"/>
                <w:sz w:val="22"/>
                <w:szCs w:val="22"/>
              </w:rPr>
            </w:pPr>
            <w:r>
              <w:rPr>
                <w:rFonts w:ascii="Arial" w:eastAsia="Arial" w:hAnsi="Arial" w:cs="Arial"/>
                <w:sz w:val="22"/>
                <w:szCs w:val="22"/>
              </w:rPr>
              <w:t>Application form</w:t>
            </w:r>
          </w:p>
          <w:p w:rsidR="00DD5E4E" w:rsidRDefault="004066EA">
            <w:pPr>
              <w:rPr>
                <w:rFonts w:ascii="Arial" w:eastAsia="Arial" w:hAnsi="Arial" w:cs="Arial"/>
                <w:sz w:val="22"/>
                <w:szCs w:val="22"/>
              </w:rPr>
            </w:pPr>
            <w:r>
              <w:rPr>
                <w:rFonts w:ascii="Arial" w:eastAsia="Arial" w:hAnsi="Arial" w:cs="Arial"/>
                <w:sz w:val="22"/>
                <w:szCs w:val="22"/>
              </w:rPr>
              <w:t>Letter of application</w:t>
            </w:r>
          </w:p>
          <w:p w:rsidR="00DD5E4E" w:rsidRDefault="004066EA">
            <w:pPr>
              <w:rPr>
                <w:rFonts w:ascii="Arial" w:eastAsia="Arial" w:hAnsi="Arial" w:cs="Arial"/>
                <w:sz w:val="22"/>
                <w:szCs w:val="22"/>
              </w:rPr>
            </w:pPr>
            <w:r>
              <w:rPr>
                <w:rFonts w:ascii="Arial" w:eastAsia="Arial" w:hAnsi="Arial" w:cs="Arial"/>
                <w:sz w:val="22"/>
                <w:szCs w:val="22"/>
              </w:rPr>
              <w:t>References</w:t>
            </w:r>
          </w:p>
          <w:p w:rsidR="00DD5E4E" w:rsidRDefault="004066EA">
            <w:pPr>
              <w:rPr>
                <w:rFonts w:ascii="Arial" w:eastAsia="Arial" w:hAnsi="Arial" w:cs="Arial"/>
                <w:sz w:val="22"/>
                <w:szCs w:val="22"/>
              </w:rPr>
            </w:pPr>
            <w:r>
              <w:rPr>
                <w:rFonts w:ascii="Arial" w:eastAsia="Arial" w:hAnsi="Arial" w:cs="Arial"/>
                <w:sz w:val="22"/>
                <w:szCs w:val="22"/>
              </w:rPr>
              <w:t>Interviews</w:t>
            </w:r>
          </w:p>
          <w:p w:rsidR="00DD5E4E" w:rsidRDefault="00DD5E4E">
            <w:pPr>
              <w:widowControl w:val="0"/>
              <w:rPr>
                <w:rFonts w:ascii="Arial" w:eastAsia="Arial" w:hAnsi="Arial" w:cs="Arial"/>
                <w:sz w:val="22"/>
                <w:szCs w:val="22"/>
              </w:rPr>
            </w:pPr>
          </w:p>
        </w:tc>
      </w:tr>
    </w:tbl>
    <w:p w:rsidR="00DD5E4E" w:rsidRDefault="00DD5E4E">
      <w:pPr>
        <w:widowControl w:val="0"/>
        <w:rPr>
          <w:rFonts w:ascii="Arial" w:eastAsia="Arial" w:hAnsi="Arial" w:cs="Arial"/>
          <w:sz w:val="22"/>
          <w:szCs w:val="22"/>
        </w:rPr>
      </w:pPr>
    </w:p>
    <w:p w:rsidR="00DD5E4E" w:rsidRDefault="00DD5E4E">
      <w:pPr>
        <w:rPr>
          <w:rFonts w:ascii="Arial" w:eastAsia="Arial" w:hAnsi="Arial" w:cs="Arial"/>
          <w:b/>
          <w:sz w:val="22"/>
          <w:szCs w:val="22"/>
        </w:rPr>
      </w:pPr>
    </w:p>
    <w:sectPr w:rsidR="00DD5E4E">
      <w:pgSz w:w="11906" w:h="16838"/>
      <w:pgMar w:top="1440" w:right="1800" w:bottom="1440" w:left="180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57A"/>
    <w:multiLevelType w:val="multilevel"/>
    <w:tmpl w:val="6C02EBA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2DC34411"/>
    <w:multiLevelType w:val="multilevel"/>
    <w:tmpl w:val="E0E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E"/>
    <w:rsid w:val="004066EA"/>
    <w:rsid w:val="005D0493"/>
    <w:rsid w:val="007C06C5"/>
    <w:rsid w:val="00DD5E4E"/>
    <w:rsid w:val="00EE4F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432" w:hanging="432"/>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432" w:hanging="432"/>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5058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Hegedus</dc:creator>
  <cp:lastModifiedBy>Ambleglow</cp:lastModifiedBy>
  <cp:revision>2</cp:revision>
  <dcterms:created xsi:type="dcterms:W3CDTF">2019-06-07T10:53:00Z</dcterms:created>
  <dcterms:modified xsi:type="dcterms:W3CDTF">2019-06-07T10:53:00Z</dcterms:modified>
</cp:coreProperties>
</file>