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4678"/>
        <w:gridCol w:w="1791"/>
      </w:tblGrid>
      <w:tr w:rsidR="00843178" w:rsidRPr="00AF40D0" w14:paraId="54ED4458" w14:textId="77777777" w:rsidTr="00E23201">
        <w:trPr>
          <w:trHeight w:val="274"/>
        </w:trPr>
        <w:tc>
          <w:tcPr>
            <w:tcW w:w="2547" w:type="dxa"/>
          </w:tcPr>
          <w:p w14:paraId="526E7AAD" w14:textId="77777777" w:rsidR="00843178" w:rsidRPr="00941C5A" w:rsidRDefault="00843178" w:rsidP="00843178">
            <w:pPr>
              <w:rPr>
                <w:rFonts w:ascii="Arial" w:hAnsi="Arial" w:cs="Arial"/>
                <w:b/>
              </w:rPr>
            </w:pPr>
            <w:r w:rsidRPr="00941C5A">
              <w:rPr>
                <w:rFonts w:ascii="Arial" w:hAnsi="Arial" w:cs="Arial"/>
                <w:b/>
              </w:rPr>
              <w:t>Job Title</w:t>
            </w:r>
          </w:p>
        </w:tc>
        <w:tc>
          <w:tcPr>
            <w:tcW w:w="4678" w:type="dxa"/>
          </w:tcPr>
          <w:p w14:paraId="73652173" w14:textId="3A318461" w:rsidR="00843178" w:rsidRPr="00843178" w:rsidRDefault="001A5601" w:rsidP="00842257">
            <w:pPr>
              <w:rPr>
                <w:rFonts w:ascii="Arial" w:hAnsi="Arial" w:cs="Arial"/>
                <w:b/>
              </w:rPr>
            </w:pPr>
            <w:r>
              <w:rPr>
                <w:rFonts w:ascii="Arial" w:hAnsi="Arial" w:cs="Arial"/>
                <w:b/>
              </w:rPr>
              <w:t xml:space="preserve">Curriculum </w:t>
            </w:r>
            <w:r w:rsidR="00960B77">
              <w:rPr>
                <w:rFonts w:ascii="Arial" w:hAnsi="Arial" w:cs="Arial"/>
                <w:b/>
              </w:rPr>
              <w:t>Manager</w:t>
            </w:r>
            <w:r>
              <w:rPr>
                <w:rFonts w:ascii="Arial" w:hAnsi="Arial" w:cs="Arial"/>
                <w:b/>
              </w:rPr>
              <w:t xml:space="preserve"> (</w:t>
            </w:r>
            <w:r w:rsidR="000219E0">
              <w:rPr>
                <w:rFonts w:ascii="Arial" w:hAnsi="Arial" w:cs="Arial"/>
                <w:b/>
              </w:rPr>
              <w:t>Cornwall</w:t>
            </w:r>
            <w:r>
              <w:rPr>
                <w:rFonts w:ascii="Arial" w:hAnsi="Arial" w:cs="Arial"/>
                <w:b/>
              </w:rPr>
              <w:t>)</w:t>
            </w:r>
          </w:p>
        </w:tc>
        <w:tc>
          <w:tcPr>
            <w:tcW w:w="1791" w:type="dxa"/>
            <w:vMerge w:val="restart"/>
            <w:vAlign w:val="center"/>
          </w:tcPr>
          <w:p w14:paraId="09C13A7B" w14:textId="77777777" w:rsidR="00843178" w:rsidRPr="00E14F01" w:rsidRDefault="00843178" w:rsidP="00E23201">
            <w:pPr>
              <w:jc w:val="center"/>
              <w:rPr>
                <w:rFonts w:ascii="Arial" w:hAnsi="Arial" w:cs="Arial"/>
                <w:b/>
              </w:rPr>
            </w:pPr>
            <w:r>
              <w:rPr>
                <w:rFonts w:ascii="Arial" w:hAnsi="Arial" w:cs="Arial"/>
                <w:b/>
                <w:noProof/>
                <w:lang w:eastAsia="en-GB"/>
              </w:rPr>
              <w:drawing>
                <wp:inline distT="0" distB="0" distL="0" distR="0" wp14:anchorId="5A3D9579" wp14:editId="079C227F">
                  <wp:extent cx="975360" cy="6849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252" cy="702439"/>
                          </a:xfrm>
                          <a:prstGeom prst="rect">
                            <a:avLst/>
                          </a:prstGeom>
                          <a:noFill/>
                        </pic:spPr>
                      </pic:pic>
                    </a:graphicData>
                  </a:graphic>
                </wp:inline>
              </w:drawing>
            </w:r>
          </w:p>
        </w:tc>
      </w:tr>
      <w:tr w:rsidR="00E23201" w:rsidRPr="00AF40D0" w14:paraId="2FE9147D" w14:textId="77777777" w:rsidTr="00843178">
        <w:trPr>
          <w:trHeight w:val="274"/>
        </w:trPr>
        <w:tc>
          <w:tcPr>
            <w:tcW w:w="2547" w:type="dxa"/>
          </w:tcPr>
          <w:p w14:paraId="036097C7" w14:textId="3788766B" w:rsidR="00E23201" w:rsidRPr="00941C5A" w:rsidRDefault="00E23201" w:rsidP="00843178">
            <w:pPr>
              <w:rPr>
                <w:rFonts w:ascii="Arial" w:hAnsi="Arial" w:cs="Arial"/>
                <w:b/>
              </w:rPr>
            </w:pPr>
            <w:r>
              <w:rPr>
                <w:rFonts w:ascii="Arial" w:hAnsi="Arial" w:cs="Arial"/>
                <w:b/>
              </w:rPr>
              <w:t>Function</w:t>
            </w:r>
          </w:p>
        </w:tc>
        <w:tc>
          <w:tcPr>
            <w:tcW w:w="4678" w:type="dxa"/>
          </w:tcPr>
          <w:p w14:paraId="2BAB5E13" w14:textId="70259E6F" w:rsidR="00E23201" w:rsidRPr="00E23201" w:rsidRDefault="00E23201">
            <w:pPr>
              <w:rPr>
                <w:rFonts w:ascii="Arial" w:hAnsi="Arial" w:cs="Arial"/>
                <w:b/>
                <w:bCs/>
              </w:rPr>
            </w:pPr>
            <w:r>
              <w:rPr>
                <w:rFonts w:ascii="Arial" w:hAnsi="Arial" w:cs="Arial"/>
                <w:b/>
                <w:bCs/>
              </w:rPr>
              <w:t>ROC College</w:t>
            </w:r>
          </w:p>
        </w:tc>
        <w:tc>
          <w:tcPr>
            <w:tcW w:w="1791" w:type="dxa"/>
            <w:vMerge/>
          </w:tcPr>
          <w:p w14:paraId="6844BBE4" w14:textId="77777777" w:rsidR="00E23201" w:rsidRPr="00E14F01" w:rsidRDefault="00E23201" w:rsidP="00244AD6">
            <w:pPr>
              <w:rPr>
                <w:rFonts w:ascii="Arial" w:hAnsi="Arial" w:cs="Arial"/>
                <w:b/>
              </w:rPr>
            </w:pPr>
          </w:p>
        </w:tc>
      </w:tr>
      <w:tr w:rsidR="004B34AC" w:rsidRPr="00AF40D0" w14:paraId="45ECFE2F" w14:textId="77777777" w:rsidTr="00843178">
        <w:trPr>
          <w:trHeight w:val="274"/>
        </w:trPr>
        <w:tc>
          <w:tcPr>
            <w:tcW w:w="2547" w:type="dxa"/>
          </w:tcPr>
          <w:p w14:paraId="6B3C1B95" w14:textId="3AFBB8BD" w:rsidR="004B34AC" w:rsidRPr="00941C5A" w:rsidRDefault="004B34AC" w:rsidP="00843178">
            <w:pPr>
              <w:rPr>
                <w:rFonts w:ascii="Arial" w:hAnsi="Arial" w:cs="Arial"/>
                <w:b/>
              </w:rPr>
            </w:pPr>
            <w:r>
              <w:rPr>
                <w:rFonts w:ascii="Arial" w:hAnsi="Arial" w:cs="Arial"/>
                <w:b/>
              </w:rPr>
              <w:t>Location</w:t>
            </w:r>
          </w:p>
        </w:tc>
        <w:tc>
          <w:tcPr>
            <w:tcW w:w="4678" w:type="dxa"/>
          </w:tcPr>
          <w:p w14:paraId="7BFB2188" w14:textId="2DC3E5FD" w:rsidR="004B34AC" w:rsidRPr="00E23201" w:rsidRDefault="004B34AC">
            <w:pPr>
              <w:rPr>
                <w:rFonts w:ascii="Arial" w:hAnsi="Arial" w:cs="Arial"/>
                <w:b/>
                <w:bCs/>
              </w:rPr>
            </w:pPr>
            <w:r>
              <w:rPr>
                <w:rFonts w:ascii="Arial" w:hAnsi="Arial" w:cs="Arial"/>
                <w:b/>
                <w:bCs/>
              </w:rPr>
              <w:t>Truro, Cornwall</w:t>
            </w:r>
            <w:r w:rsidR="00203A9C">
              <w:rPr>
                <w:rFonts w:ascii="Arial" w:hAnsi="Arial" w:cs="Arial"/>
                <w:b/>
                <w:bCs/>
              </w:rPr>
              <w:t xml:space="preserve"> (travel across county required)</w:t>
            </w:r>
          </w:p>
        </w:tc>
        <w:tc>
          <w:tcPr>
            <w:tcW w:w="1791" w:type="dxa"/>
            <w:vMerge/>
          </w:tcPr>
          <w:p w14:paraId="6C4248BA" w14:textId="77777777" w:rsidR="004B34AC" w:rsidRPr="00E14F01" w:rsidRDefault="004B34AC" w:rsidP="00244AD6">
            <w:pPr>
              <w:rPr>
                <w:rFonts w:ascii="Arial" w:hAnsi="Arial" w:cs="Arial"/>
                <w:b/>
              </w:rPr>
            </w:pPr>
          </w:p>
        </w:tc>
      </w:tr>
      <w:tr w:rsidR="00843178" w:rsidRPr="00AF40D0" w14:paraId="6F4E1ADF" w14:textId="77777777" w:rsidTr="00843178">
        <w:trPr>
          <w:trHeight w:val="274"/>
        </w:trPr>
        <w:tc>
          <w:tcPr>
            <w:tcW w:w="2547" w:type="dxa"/>
          </w:tcPr>
          <w:p w14:paraId="2D63BEA2" w14:textId="77777777" w:rsidR="00843178" w:rsidRPr="00941C5A" w:rsidRDefault="00843178" w:rsidP="00843178">
            <w:pPr>
              <w:rPr>
                <w:rFonts w:ascii="Arial" w:hAnsi="Arial" w:cs="Arial"/>
                <w:b/>
              </w:rPr>
            </w:pPr>
            <w:r w:rsidRPr="00941C5A">
              <w:rPr>
                <w:rFonts w:ascii="Arial" w:hAnsi="Arial" w:cs="Arial"/>
                <w:b/>
              </w:rPr>
              <w:t>Grade</w:t>
            </w:r>
          </w:p>
        </w:tc>
        <w:tc>
          <w:tcPr>
            <w:tcW w:w="4678" w:type="dxa"/>
          </w:tcPr>
          <w:p w14:paraId="66951E72" w14:textId="77777777" w:rsidR="00843178" w:rsidRPr="00E23201" w:rsidRDefault="00003F78">
            <w:pPr>
              <w:rPr>
                <w:rFonts w:ascii="Arial" w:hAnsi="Arial" w:cs="Arial"/>
                <w:b/>
                <w:bCs/>
              </w:rPr>
            </w:pPr>
            <w:r w:rsidRPr="00E23201">
              <w:rPr>
                <w:rFonts w:ascii="Arial" w:hAnsi="Arial" w:cs="Arial"/>
                <w:b/>
                <w:bCs/>
              </w:rPr>
              <w:t>7</w:t>
            </w:r>
          </w:p>
        </w:tc>
        <w:tc>
          <w:tcPr>
            <w:tcW w:w="1791" w:type="dxa"/>
            <w:vMerge/>
          </w:tcPr>
          <w:p w14:paraId="01BDF434" w14:textId="77777777" w:rsidR="00843178" w:rsidRPr="00E14F01" w:rsidRDefault="00843178" w:rsidP="00244AD6">
            <w:pPr>
              <w:rPr>
                <w:rFonts w:ascii="Arial" w:hAnsi="Arial" w:cs="Arial"/>
                <w:b/>
              </w:rPr>
            </w:pPr>
          </w:p>
        </w:tc>
      </w:tr>
      <w:tr w:rsidR="00843178" w:rsidRPr="00AF40D0" w14:paraId="4F9574DD" w14:textId="77777777" w:rsidTr="00843178">
        <w:trPr>
          <w:trHeight w:val="274"/>
        </w:trPr>
        <w:tc>
          <w:tcPr>
            <w:tcW w:w="2547" w:type="dxa"/>
          </w:tcPr>
          <w:p w14:paraId="2269CEC2" w14:textId="77777777" w:rsidR="00843178" w:rsidRPr="00941C5A" w:rsidRDefault="00843178" w:rsidP="00843178">
            <w:pPr>
              <w:rPr>
                <w:rFonts w:ascii="Arial" w:hAnsi="Arial" w:cs="Arial"/>
                <w:b/>
              </w:rPr>
            </w:pPr>
            <w:r w:rsidRPr="00941C5A">
              <w:rPr>
                <w:rFonts w:ascii="Arial" w:hAnsi="Arial" w:cs="Arial"/>
                <w:b/>
              </w:rPr>
              <w:t>Reports to</w:t>
            </w:r>
          </w:p>
        </w:tc>
        <w:tc>
          <w:tcPr>
            <w:tcW w:w="4678" w:type="dxa"/>
          </w:tcPr>
          <w:p w14:paraId="502DA8B0" w14:textId="7D73DEF2" w:rsidR="00843178" w:rsidRPr="00974B0E" w:rsidRDefault="00CD7B3C">
            <w:pPr>
              <w:rPr>
                <w:rFonts w:ascii="Arial" w:hAnsi="Arial" w:cs="Arial"/>
                <w:b/>
                <w:bCs/>
              </w:rPr>
            </w:pPr>
            <w:r>
              <w:rPr>
                <w:rFonts w:ascii="Arial" w:hAnsi="Arial" w:cs="Arial"/>
                <w:b/>
                <w:bCs/>
              </w:rPr>
              <w:t xml:space="preserve">Deputy </w:t>
            </w:r>
            <w:r w:rsidR="00D74068">
              <w:rPr>
                <w:rFonts w:ascii="Arial" w:hAnsi="Arial" w:cs="Arial"/>
                <w:b/>
                <w:bCs/>
              </w:rPr>
              <w:t>Head Teacher</w:t>
            </w:r>
          </w:p>
        </w:tc>
        <w:tc>
          <w:tcPr>
            <w:tcW w:w="1791" w:type="dxa"/>
            <w:vMerge/>
          </w:tcPr>
          <w:p w14:paraId="02AD5B55" w14:textId="77777777" w:rsidR="00843178" w:rsidRPr="00E14F01" w:rsidRDefault="00843178" w:rsidP="00244AD6">
            <w:pPr>
              <w:rPr>
                <w:rFonts w:ascii="Arial" w:hAnsi="Arial" w:cs="Arial"/>
                <w:b/>
              </w:rPr>
            </w:pPr>
          </w:p>
        </w:tc>
      </w:tr>
      <w:tr w:rsidR="00E23201" w:rsidRPr="00AF40D0" w14:paraId="051AFCBE" w14:textId="77777777" w:rsidTr="00843178">
        <w:trPr>
          <w:trHeight w:val="274"/>
        </w:trPr>
        <w:tc>
          <w:tcPr>
            <w:tcW w:w="2547" w:type="dxa"/>
          </w:tcPr>
          <w:p w14:paraId="484E85AB" w14:textId="77B8618D" w:rsidR="00E23201" w:rsidRDefault="00E23201" w:rsidP="00E23201">
            <w:pPr>
              <w:rPr>
                <w:rFonts w:ascii="Arial" w:hAnsi="Arial" w:cs="Arial"/>
                <w:b/>
              </w:rPr>
            </w:pPr>
            <w:r w:rsidRPr="00941C5A">
              <w:rPr>
                <w:rFonts w:ascii="Arial" w:hAnsi="Arial" w:cs="Arial"/>
                <w:b/>
              </w:rPr>
              <w:t>Responsible for</w:t>
            </w:r>
          </w:p>
        </w:tc>
        <w:tc>
          <w:tcPr>
            <w:tcW w:w="4678" w:type="dxa"/>
          </w:tcPr>
          <w:p w14:paraId="076AC39F" w14:textId="1F74A046" w:rsidR="00E23201" w:rsidRPr="00974B0E" w:rsidRDefault="00E23201" w:rsidP="00E23201">
            <w:pPr>
              <w:rPr>
                <w:rFonts w:ascii="Arial" w:hAnsi="Arial" w:cs="Arial"/>
                <w:b/>
                <w:bCs/>
              </w:rPr>
            </w:pPr>
            <w:r w:rsidRPr="00974B0E">
              <w:rPr>
                <w:rFonts w:ascii="Arial" w:hAnsi="Arial" w:cs="Arial"/>
                <w:b/>
                <w:bCs/>
              </w:rPr>
              <w:t xml:space="preserve">Learning Mentors </w:t>
            </w:r>
            <w:r w:rsidR="00277B94">
              <w:rPr>
                <w:rFonts w:ascii="Arial" w:hAnsi="Arial" w:cs="Arial"/>
                <w:b/>
                <w:bCs/>
              </w:rPr>
              <w:t>and</w:t>
            </w:r>
            <w:r w:rsidRPr="00974B0E">
              <w:rPr>
                <w:rFonts w:ascii="Arial" w:hAnsi="Arial" w:cs="Arial"/>
                <w:b/>
                <w:bCs/>
              </w:rPr>
              <w:t xml:space="preserve"> Learning </w:t>
            </w:r>
            <w:r>
              <w:rPr>
                <w:rFonts w:ascii="Arial" w:hAnsi="Arial" w:cs="Arial"/>
                <w:b/>
                <w:bCs/>
              </w:rPr>
              <w:t>Tutors</w:t>
            </w:r>
          </w:p>
        </w:tc>
        <w:tc>
          <w:tcPr>
            <w:tcW w:w="1791" w:type="dxa"/>
            <w:vMerge/>
          </w:tcPr>
          <w:p w14:paraId="25DF5DB7" w14:textId="77777777" w:rsidR="00E23201" w:rsidRPr="00E14F01" w:rsidRDefault="00E23201" w:rsidP="00E23201">
            <w:pPr>
              <w:rPr>
                <w:rFonts w:ascii="Arial" w:hAnsi="Arial" w:cs="Arial"/>
                <w:b/>
              </w:rPr>
            </w:pPr>
          </w:p>
        </w:tc>
      </w:tr>
      <w:tr w:rsidR="00E23201" w:rsidRPr="00AF40D0" w14:paraId="448013EB" w14:textId="77777777" w:rsidTr="00843178">
        <w:trPr>
          <w:trHeight w:val="274"/>
        </w:trPr>
        <w:tc>
          <w:tcPr>
            <w:tcW w:w="2547" w:type="dxa"/>
          </w:tcPr>
          <w:p w14:paraId="3A4136FB" w14:textId="0C6E6142" w:rsidR="00E23201" w:rsidRPr="00941C5A" w:rsidRDefault="00E23201" w:rsidP="00E23201">
            <w:pPr>
              <w:rPr>
                <w:rFonts w:ascii="Arial" w:hAnsi="Arial" w:cs="Arial"/>
                <w:b/>
              </w:rPr>
            </w:pPr>
            <w:r>
              <w:rPr>
                <w:rFonts w:ascii="Arial" w:hAnsi="Arial" w:cs="Arial"/>
                <w:b/>
              </w:rPr>
              <w:t>Hours</w:t>
            </w:r>
          </w:p>
        </w:tc>
        <w:tc>
          <w:tcPr>
            <w:tcW w:w="4678" w:type="dxa"/>
          </w:tcPr>
          <w:p w14:paraId="72E7024A" w14:textId="0A2E609E" w:rsidR="00E23201" w:rsidRPr="00974B0E" w:rsidRDefault="00E23201" w:rsidP="00E23201">
            <w:pPr>
              <w:rPr>
                <w:rFonts w:ascii="Arial" w:hAnsi="Arial" w:cs="Arial"/>
                <w:b/>
                <w:bCs/>
              </w:rPr>
            </w:pPr>
            <w:r>
              <w:rPr>
                <w:rFonts w:ascii="Arial" w:hAnsi="Arial" w:cs="Arial"/>
                <w:b/>
                <w:bCs/>
              </w:rPr>
              <w:t>37.5 hours per week term-time (40 weeks per year)</w:t>
            </w:r>
          </w:p>
        </w:tc>
        <w:tc>
          <w:tcPr>
            <w:tcW w:w="1791" w:type="dxa"/>
            <w:vMerge/>
          </w:tcPr>
          <w:p w14:paraId="234FB92F" w14:textId="77777777" w:rsidR="00E23201" w:rsidRPr="00E14F01" w:rsidRDefault="00E23201" w:rsidP="00E23201">
            <w:pPr>
              <w:rPr>
                <w:rFonts w:ascii="Arial" w:hAnsi="Arial" w:cs="Arial"/>
                <w:b/>
              </w:rPr>
            </w:pPr>
          </w:p>
        </w:tc>
      </w:tr>
      <w:tr w:rsidR="00E23201" w:rsidRPr="00AF40D0" w14:paraId="7EFA19C3" w14:textId="77777777" w:rsidTr="00843178">
        <w:trPr>
          <w:trHeight w:val="274"/>
        </w:trPr>
        <w:tc>
          <w:tcPr>
            <w:tcW w:w="2547" w:type="dxa"/>
          </w:tcPr>
          <w:p w14:paraId="33B129D7" w14:textId="456B549E" w:rsidR="00E23201" w:rsidRPr="00941C5A" w:rsidRDefault="00E23201" w:rsidP="00E23201">
            <w:pPr>
              <w:rPr>
                <w:rFonts w:ascii="Arial" w:hAnsi="Arial" w:cs="Arial"/>
                <w:b/>
              </w:rPr>
            </w:pPr>
            <w:r>
              <w:rPr>
                <w:rFonts w:ascii="Arial" w:hAnsi="Arial" w:cs="Arial"/>
                <w:b/>
              </w:rPr>
              <w:t>Salary</w:t>
            </w:r>
          </w:p>
        </w:tc>
        <w:tc>
          <w:tcPr>
            <w:tcW w:w="4678" w:type="dxa"/>
          </w:tcPr>
          <w:p w14:paraId="2E9EE8A2" w14:textId="7AC7B876" w:rsidR="00E23201" w:rsidRPr="00974B0E" w:rsidRDefault="00E23201" w:rsidP="00E23201">
            <w:pPr>
              <w:rPr>
                <w:rFonts w:ascii="Arial" w:hAnsi="Arial" w:cs="Arial"/>
                <w:b/>
                <w:bCs/>
              </w:rPr>
            </w:pPr>
            <w:r>
              <w:rPr>
                <w:rFonts w:ascii="Arial" w:hAnsi="Arial" w:cs="Arial"/>
                <w:b/>
                <w:bCs/>
              </w:rPr>
              <w:t>£31,383 per annum (£28,047 pro rata) / £16.05 per hour</w:t>
            </w:r>
          </w:p>
        </w:tc>
        <w:tc>
          <w:tcPr>
            <w:tcW w:w="1791" w:type="dxa"/>
            <w:vMerge/>
          </w:tcPr>
          <w:p w14:paraId="214F6C4A" w14:textId="77777777" w:rsidR="00E23201" w:rsidRPr="00E14F01" w:rsidRDefault="00E23201" w:rsidP="00E23201">
            <w:pPr>
              <w:rPr>
                <w:rFonts w:ascii="Arial" w:hAnsi="Arial" w:cs="Arial"/>
                <w:b/>
              </w:rPr>
            </w:pPr>
          </w:p>
        </w:tc>
      </w:tr>
      <w:tr w:rsidR="00E23201" w:rsidRPr="00AF40D0" w14:paraId="0FAB4D05" w14:textId="77777777" w:rsidTr="00F221A5">
        <w:tc>
          <w:tcPr>
            <w:tcW w:w="2547" w:type="dxa"/>
          </w:tcPr>
          <w:p w14:paraId="5BBB4799" w14:textId="77777777" w:rsidR="00E23201" w:rsidRPr="00941C5A" w:rsidRDefault="00E23201" w:rsidP="00E23201">
            <w:pPr>
              <w:rPr>
                <w:rFonts w:ascii="Arial" w:hAnsi="Arial" w:cs="Arial"/>
                <w:b/>
              </w:rPr>
            </w:pPr>
            <w:r w:rsidRPr="00941C5A">
              <w:rPr>
                <w:rFonts w:ascii="Arial" w:hAnsi="Arial" w:cs="Arial"/>
                <w:b/>
              </w:rPr>
              <w:t>Job purpose</w:t>
            </w:r>
          </w:p>
        </w:tc>
        <w:tc>
          <w:tcPr>
            <w:tcW w:w="6469" w:type="dxa"/>
            <w:gridSpan w:val="2"/>
          </w:tcPr>
          <w:p w14:paraId="5BD1E48D" w14:textId="1FF2049B" w:rsidR="00E23201" w:rsidRPr="00D7218F" w:rsidRDefault="00E23201" w:rsidP="00E23201">
            <w:pPr>
              <w:rPr>
                <w:sz w:val="24"/>
                <w:szCs w:val="24"/>
              </w:rPr>
            </w:pPr>
            <w:r w:rsidRPr="00D7218F">
              <w:rPr>
                <w:sz w:val="24"/>
                <w:szCs w:val="24"/>
              </w:rPr>
              <w:t>To assist with developing individualised, creative curriculum</w:t>
            </w:r>
            <w:r>
              <w:rPr>
                <w:sz w:val="24"/>
                <w:szCs w:val="24"/>
              </w:rPr>
              <w:t>s</w:t>
            </w:r>
            <w:r w:rsidRPr="00D7218F">
              <w:rPr>
                <w:sz w:val="24"/>
                <w:szCs w:val="24"/>
              </w:rPr>
              <w:t xml:space="preserve">, that inspires quality learning for students with SEND, ensuring learning experiences supports student development around personal, social and employability targets. </w:t>
            </w:r>
          </w:p>
          <w:p w14:paraId="250CF214" w14:textId="77777777" w:rsidR="00E23201" w:rsidRPr="00D7218F" w:rsidRDefault="00E23201" w:rsidP="00E23201">
            <w:pPr>
              <w:rPr>
                <w:sz w:val="24"/>
                <w:szCs w:val="24"/>
              </w:rPr>
            </w:pPr>
          </w:p>
          <w:p w14:paraId="0A133FCA" w14:textId="28E32D1F" w:rsidR="00E23201" w:rsidRPr="00D7218F" w:rsidRDefault="00E23201" w:rsidP="00E23201">
            <w:pPr>
              <w:rPr>
                <w:sz w:val="24"/>
                <w:szCs w:val="24"/>
              </w:rPr>
            </w:pPr>
            <w:r w:rsidRPr="00D7218F">
              <w:rPr>
                <w:rFonts w:cstheme="minorHAnsi"/>
                <w:sz w:val="24"/>
                <w:szCs w:val="24"/>
              </w:rPr>
              <w:t xml:space="preserve">Ensure students are supported to meet their needs and destinations, assessing and </w:t>
            </w:r>
            <w:r w:rsidRPr="00D7218F">
              <w:rPr>
                <w:sz w:val="24"/>
                <w:szCs w:val="24"/>
              </w:rPr>
              <w:t>planning cohesive learning plans that align to the aspirations and destinations outlined in their EHCP.</w:t>
            </w:r>
          </w:p>
          <w:p w14:paraId="2E46C66B" w14:textId="77777777" w:rsidR="00E23201" w:rsidRPr="00D7218F" w:rsidRDefault="00E23201" w:rsidP="00E23201">
            <w:pPr>
              <w:rPr>
                <w:rFonts w:cstheme="minorHAnsi"/>
                <w:sz w:val="24"/>
                <w:szCs w:val="24"/>
              </w:rPr>
            </w:pPr>
          </w:p>
          <w:p w14:paraId="66706582" w14:textId="77777777" w:rsidR="00E23201" w:rsidRPr="00D7218F" w:rsidRDefault="00E23201" w:rsidP="00E23201">
            <w:pPr>
              <w:pStyle w:val="BodyText2"/>
              <w:spacing w:after="0" w:line="240" w:lineRule="auto"/>
              <w:jc w:val="both"/>
              <w:rPr>
                <w:rFonts w:ascii="Calibri" w:hAnsi="Calibri" w:cs="Arial"/>
                <w:iCs/>
                <w:sz w:val="24"/>
              </w:rPr>
            </w:pPr>
            <w:r w:rsidRPr="00D7218F">
              <w:rPr>
                <w:rFonts w:ascii="Calibri" w:hAnsi="Calibri" w:cs="Arial"/>
                <w:iCs/>
                <w:sz w:val="24"/>
              </w:rPr>
              <w:t xml:space="preserve">The </w:t>
            </w:r>
            <w:r w:rsidRPr="00D7218F">
              <w:rPr>
                <w:rFonts w:ascii="Calibri" w:hAnsi="Calibri" w:cs="Arial"/>
                <w:bCs/>
                <w:sz w:val="24"/>
              </w:rPr>
              <w:t xml:space="preserve">post holder </w:t>
            </w:r>
            <w:r w:rsidRPr="00D7218F">
              <w:rPr>
                <w:rFonts w:ascii="Calibri" w:hAnsi="Calibri" w:cs="Arial"/>
                <w:iCs/>
                <w:sz w:val="24"/>
              </w:rPr>
              <w:t>will be confident in achieving an outstanding SEND provision against the new Education Inspection Framework</w:t>
            </w:r>
          </w:p>
          <w:p w14:paraId="08FCCC2B" w14:textId="77777777" w:rsidR="00E23201" w:rsidRPr="00D7218F" w:rsidRDefault="00E23201" w:rsidP="00E23201">
            <w:pPr>
              <w:pStyle w:val="BodyText2"/>
              <w:spacing w:after="0" w:line="240" w:lineRule="auto"/>
              <w:jc w:val="both"/>
              <w:rPr>
                <w:rFonts w:ascii="Calibri" w:hAnsi="Calibri" w:cs="Arial"/>
                <w:iCs/>
                <w:sz w:val="24"/>
              </w:rPr>
            </w:pPr>
          </w:p>
          <w:p w14:paraId="21E6EB4B" w14:textId="331A9C0F" w:rsidR="00E23201" w:rsidRDefault="00E23201" w:rsidP="00E23201">
            <w:pPr>
              <w:pStyle w:val="BodyText2"/>
              <w:spacing w:after="0" w:line="240" w:lineRule="auto"/>
              <w:jc w:val="both"/>
              <w:rPr>
                <w:rFonts w:ascii="Calibri" w:hAnsi="Calibri" w:cs="Arial"/>
                <w:iCs/>
                <w:sz w:val="24"/>
              </w:rPr>
            </w:pPr>
            <w:r w:rsidRPr="00D7218F">
              <w:rPr>
                <w:rFonts w:ascii="Calibri" w:hAnsi="Calibri" w:cs="Arial"/>
                <w:iCs/>
                <w:sz w:val="24"/>
              </w:rPr>
              <w:t xml:space="preserve">Ensure student safety, enjoyment and success is at the heart of planning and delivery and that we are preparing students to progress further in life skills and/or into employment. </w:t>
            </w:r>
          </w:p>
          <w:p w14:paraId="1EE1BCD3" w14:textId="5515A82B" w:rsidR="00E23201" w:rsidRDefault="00E23201" w:rsidP="00E23201">
            <w:pPr>
              <w:pStyle w:val="BodyText2"/>
              <w:spacing w:after="0" w:line="240" w:lineRule="auto"/>
              <w:jc w:val="both"/>
              <w:rPr>
                <w:rFonts w:ascii="Calibri" w:hAnsi="Calibri" w:cs="Arial"/>
                <w:iCs/>
                <w:sz w:val="24"/>
              </w:rPr>
            </w:pPr>
          </w:p>
          <w:p w14:paraId="3AE15855" w14:textId="260408C7" w:rsidR="00E23201" w:rsidRPr="003260EA" w:rsidRDefault="00E23201" w:rsidP="00E23201">
            <w:pPr>
              <w:pStyle w:val="BodyText2"/>
              <w:spacing w:after="0" w:line="240" w:lineRule="auto"/>
              <w:jc w:val="both"/>
              <w:rPr>
                <w:rFonts w:ascii="Calibri" w:hAnsi="Calibri" w:cs="Arial"/>
                <w:iCs/>
                <w:sz w:val="24"/>
              </w:rPr>
            </w:pPr>
            <w:r w:rsidRPr="003260EA">
              <w:rPr>
                <w:rFonts w:ascii="Calibri" w:hAnsi="Calibri" w:cs="Arial"/>
                <w:iCs/>
                <w:sz w:val="24"/>
              </w:rPr>
              <w:t>To lead and manage a team of Learning Mentors and Learning Tutors.</w:t>
            </w:r>
          </w:p>
          <w:p w14:paraId="03D1780A" w14:textId="15F6BE86" w:rsidR="00E23201" w:rsidRPr="003260EA" w:rsidRDefault="00E23201" w:rsidP="00E23201">
            <w:pPr>
              <w:pStyle w:val="BodyText2"/>
              <w:spacing w:after="0" w:line="240" w:lineRule="auto"/>
              <w:jc w:val="both"/>
              <w:rPr>
                <w:rFonts w:ascii="Calibri" w:hAnsi="Calibri" w:cs="Arial"/>
                <w:iCs/>
                <w:sz w:val="24"/>
              </w:rPr>
            </w:pPr>
          </w:p>
          <w:p w14:paraId="3324BEE7" w14:textId="58354E82" w:rsidR="00E23201" w:rsidRPr="00277B94" w:rsidRDefault="00E23201" w:rsidP="00277B94">
            <w:pPr>
              <w:pStyle w:val="BodyText2"/>
              <w:spacing w:after="0" w:line="240" w:lineRule="auto"/>
              <w:jc w:val="both"/>
              <w:rPr>
                <w:rFonts w:ascii="Calibri" w:hAnsi="Calibri" w:cs="Arial"/>
                <w:iCs/>
                <w:sz w:val="24"/>
              </w:rPr>
            </w:pPr>
            <w:r w:rsidRPr="003260EA">
              <w:rPr>
                <w:rFonts w:ascii="Calibri" w:hAnsi="Calibri" w:cs="Arial"/>
                <w:iCs/>
                <w:sz w:val="24"/>
              </w:rPr>
              <w:t>To be responsible for a cohort of students and their bespoke curriculums within your geographic area, liaising with key stakeholders as necessary.</w:t>
            </w:r>
            <w:r>
              <w:rPr>
                <w:rFonts w:ascii="Calibri" w:hAnsi="Calibri" w:cs="Arial"/>
                <w:iCs/>
                <w:sz w:val="24"/>
              </w:rPr>
              <w:t xml:space="preserve"> </w:t>
            </w:r>
          </w:p>
          <w:p w14:paraId="61D3A69A" w14:textId="0749BEAE" w:rsidR="00E23201" w:rsidRPr="00AF40D0" w:rsidRDefault="00E23201" w:rsidP="00E23201">
            <w:pPr>
              <w:rPr>
                <w:rFonts w:ascii="Arial" w:hAnsi="Arial" w:cs="Arial"/>
              </w:rPr>
            </w:pPr>
          </w:p>
        </w:tc>
      </w:tr>
      <w:tr w:rsidR="00E23201" w:rsidRPr="00AF40D0" w14:paraId="745CD3CF" w14:textId="77777777" w:rsidTr="00F221A5">
        <w:tc>
          <w:tcPr>
            <w:tcW w:w="2547" w:type="dxa"/>
          </w:tcPr>
          <w:p w14:paraId="39B681F2" w14:textId="77777777" w:rsidR="00E23201" w:rsidRPr="00941C5A" w:rsidRDefault="00E23201" w:rsidP="00E23201">
            <w:pPr>
              <w:rPr>
                <w:rFonts w:ascii="Arial" w:hAnsi="Arial" w:cs="Arial"/>
                <w:b/>
              </w:rPr>
            </w:pPr>
            <w:r w:rsidRPr="00941C5A">
              <w:rPr>
                <w:rFonts w:ascii="Arial" w:hAnsi="Arial" w:cs="Arial"/>
                <w:b/>
              </w:rPr>
              <w:t xml:space="preserve">Key responsibilities </w:t>
            </w:r>
          </w:p>
        </w:tc>
        <w:tc>
          <w:tcPr>
            <w:tcW w:w="6469" w:type="dxa"/>
            <w:gridSpan w:val="2"/>
          </w:tcPr>
          <w:p w14:paraId="75F4BCF6" w14:textId="5A9EB387" w:rsidR="00E23201" w:rsidRPr="00D7218F" w:rsidRDefault="00E23201" w:rsidP="00E23201">
            <w:pPr>
              <w:pStyle w:val="BodyText2"/>
              <w:numPr>
                <w:ilvl w:val="0"/>
                <w:numId w:val="13"/>
              </w:numPr>
              <w:spacing w:after="0" w:line="240" w:lineRule="auto"/>
              <w:jc w:val="both"/>
              <w:rPr>
                <w:rFonts w:asciiTheme="minorHAnsi" w:hAnsiTheme="minorHAnsi" w:cstheme="minorHAnsi"/>
                <w:iCs/>
                <w:sz w:val="24"/>
              </w:rPr>
            </w:pPr>
            <w:r w:rsidRPr="00D7218F">
              <w:rPr>
                <w:rFonts w:asciiTheme="minorHAnsi" w:hAnsiTheme="minorHAnsi" w:cstheme="minorHAnsi"/>
                <w:iCs/>
                <w:sz w:val="24"/>
              </w:rPr>
              <w:t>To support ROC College to be the college of choice for SEND/SEN learners in the South West</w:t>
            </w:r>
          </w:p>
          <w:p w14:paraId="3E6B9349" w14:textId="5C857963" w:rsidR="00E23201" w:rsidRPr="00D7218F" w:rsidRDefault="00E23201" w:rsidP="00E23201">
            <w:pPr>
              <w:pStyle w:val="ListParagraph"/>
              <w:numPr>
                <w:ilvl w:val="0"/>
                <w:numId w:val="13"/>
              </w:numPr>
              <w:rPr>
                <w:rFonts w:cstheme="minorHAnsi"/>
                <w:color w:val="000000"/>
                <w:sz w:val="24"/>
                <w:szCs w:val="24"/>
              </w:rPr>
            </w:pPr>
            <w:r w:rsidRPr="00D7218F">
              <w:rPr>
                <w:rFonts w:cstheme="minorHAnsi"/>
                <w:sz w:val="24"/>
                <w:szCs w:val="24"/>
              </w:rPr>
              <w:t>Ensure the college offers high quality teaching, learning, assessment and curriculum management within the learning area</w:t>
            </w:r>
            <w:r>
              <w:rPr>
                <w:rFonts w:cstheme="minorHAnsi"/>
                <w:sz w:val="24"/>
                <w:szCs w:val="24"/>
              </w:rPr>
              <w:t>s</w:t>
            </w:r>
            <w:r w:rsidRPr="00D7218F">
              <w:rPr>
                <w:rFonts w:cstheme="minorHAnsi"/>
                <w:sz w:val="24"/>
                <w:szCs w:val="24"/>
              </w:rPr>
              <w:t>.</w:t>
            </w:r>
          </w:p>
          <w:p w14:paraId="054E2327" w14:textId="558A8F90" w:rsidR="00E23201" w:rsidRPr="00D7218F" w:rsidRDefault="00E23201" w:rsidP="00E23201">
            <w:pPr>
              <w:pStyle w:val="ListParagraph"/>
              <w:numPr>
                <w:ilvl w:val="0"/>
                <w:numId w:val="13"/>
              </w:numPr>
              <w:rPr>
                <w:rFonts w:cstheme="minorHAnsi"/>
                <w:color w:val="000000"/>
                <w:sz w:val="24"/>
                <w:szCs w:val="24"/>
              </w:rPr>
            </w:pPr>
            <w:r w:rsidRPr="00D7218F">
              <w:rPr>
                <w:rFonts w:cstheme="minorHAnsi"/>
                <w:color w:val="000000"/>
                <w:sz w:val="24"/>
                <w:szCs w:val="24"/>
              </w:rPr>
              <w:t>Ensure high levels of attendance, added value, retention, achievement, student satisfaction</w:t>
            </w:r>
            <w:r>
              <w:rPr>
                <w:rFonts w:cstheme="minorHAnsi"/>
                <w:color w:val="000000"/>
                <w:sz w:val="24"/>
                <w:szCs w:val="24"/>
              </w:rPr>
              <w:t xml:space="preserve"> within your cohort.</w:t>
            </w:r>
          </w:p>
          <w:p w14:paraId="3F828114" w14:textId="3FDDE373" w:rsidR="00E23201" w:rsidRPr="00D7218F" w:rsidRDefault="00E23201" w:rsidP="00E23201">
            <w:pPr>
              <w:pStyle w:val="ListParagraph"/>
              <w:numPr>
                <w:ilvl w:val="0"/>
                <w:numId w:val="13"/>
              </w:numPr>
              <w:rPr>
                <w:rFonts w:cstheme="minorHAnsi"/>
                <w:color w:val="000000"/>
                <w:sz w:val="24"/>
                <w:szCs w:val="24"/>
              </w:rPr>
            </w:pPr>
            <w:r w:rsidRPr="00D7218F">
              <w:rPr>
                <w:rFonts w:cstheme="minorHAnsi"/>
                <w:sz w:val="24"/>
                <w:szCs w:val="24"/>
              </w:rPr>
              <w:t>To monitor the delivery of provision to ensure that delivery complies with the schedule agreed with the funding body.</w:t>
            </w:r>
          </w:p>
          <w:p w14:paraId="0E53010F" w14:textId="704AA995" w:rsidR="00E23201" w:rsidRPr="00E70EA4" w:rsidRDefault="00E23201" w:rsidP="00E23201">
            <w:pPr>
              <w:pStyle w:val="ListParagraph"/>
              <w:numPr>
                <w:ilvl w:val="0"/>
                <w:numId w:val="13"/>
              </w:numPr>
              <w:rPr>
                <w:rFonts w:cstheme="minorHAnsi"/>
                <w:color w:val="000000"/>
                <w:sz w:val="24"/>
                <w:szCs w:val="24"/>
              </w:rPr>
            </w:pPr>
            <w:r w:rsidRPr="00D7218F">
              <w:rPr>
                <w:rFonts w:cstheme="minorHAnsi"/>
                <w:sz w:val="24"/>
                <w:szCs w:val="24"/>
              </w:rPr>
              <w:lastRenderedPageBreak/>
              <w:t>Robustly monitor accredited and RARPA programmes</w:t>
            </w:r>
            <w:r>
              <w:rPr>
                <w:rFonts w:cstheme="minorHAnsi"/>
                <w:sz w:val="24"/>
                <w:szCs w:val="24"/>
              </w:rPr>
              <w:t xml:space="preserve"> within your cohort. </w:t>
            </w:r>
          </w:p>
          <w:p w14:paraId="1382BD9F" w14:textId="2DCAF8B6" w:rsidR="00E23201" w:rsidRPr="00D7218F" w:rsidRDefault="00E23201" w:rsidP="00E23201">
            <w:pPr>
              <w:pStyle w:val="ListParagraph"/>
              <w:numPr>
                <w:ilvl w:val="0"/>
                <w:numId w:val="13"/>
              </w:numPr>
              <w:rPr>
                <w:rFonts w:cstheme="minorHAnsi"/>
                <w:color w:val="000000"/>
                <w:sz w:val="24"/>
                <w:szCs w:val="24"/>
              </w:rPr>
            </w:pPr>
            <w:r w:rsidRPr="00D7218F">
              <w:rPr>
                <w:rFonts w:cstheme="minorHAnsi"/>
                <w:sz w:val="24"/>
                <w:szCs w:val="24"/>
              </w:rPr>
              <w:t xml:space="preserve">Monitor and report </w:t>
            </w:r>
            <w:r>
              <w:rPr>
                <w:rFonts w:cstheme="minorHAnsi"/>
                <w:sz w:val="24"/>
                <w:szCs w:val="24"/>
              </w:rPr>
              <w:t>student</w:t>
            </w:r>
            <w:r w:rsidRPr="00D7218F">
              <w:rPr>
                <w:rFonts w:cstheme="minorHAnsi"/>
                <w:sz w:val="24"/>
                <w:szCs w:val="24"/>
              </w:rPr>
              <w:t xml:space="preserve"> progress and achievement</w:t>
            </w:r>
          </w:p>
          <w:p w14:paraId="0E3F3285" w14:textId="620E8065" w:rsidR="00E23201" w:rsidRPr="00D7218F" w:rsidRDefault="00E23201" w:rsidP="00E23201">
            <w:pPr>
              <w:pStyle w:val="ListParagraph"/>
              <w:numPr>
                <w:ilvl w:val="0"/>
                <w:numId w:val="13"/>
              </w:numPr>
              <w:rPr>
                <w:rFonts w:cstheme="minorHAnsi"/>
                <w:color w:val="000000"/>
                <w:sz w:val="24"/>
                <w:szCs w:val="24"/>
              </w:rPr>
            </w:pPr>
            <w:r w:rsidRPr="00D7218F">
              <w:rPr>
                <w:rFonts w:cstheme="minorHAnsi"/>
                <w:sz w:val="24"/>
                <w:szCs w:val="24"/>
              </w:rPr>
              <w:t>Liaise with parents as appropriate</w:t>
            </w:r>
          </w:p>
          <w:p w14:paraId="29A4058B" w14:textId="18BCBFC0" w:rsidR="00E23201" w:rsidRPr="00D7218F" w:rsidRDefault="00E23201" w:rsidP="00E23201">
            <w:pPr>
              <w:pStyle w:val="ListParagraph"/>
              <w:numPr>
                <w:ilvl w:val="0"/>
                <w:numId w:val="13"/>
              </w:numPr>
              <w:rPr>
                <w:rFonts w:cstheme="minorHAnsi"/>
                <w:color w:val="000000"/>
                <w:sz w:val="24"/>
                <w:szCs w:val="24"/>
              </w:rPr>
            </w:pPr>
            <w:r w:rsidRPr="00D7218F">
              <w:rPr>
                <w:rFonts w:cstheme="minorHAnsi"/>
                <w:sz w:val="24"/>
                <w:szCs w:val="24"/>
              </w:rPr>
              <w:t xml:space="preserve">Ensuring student’s progress is tracked and </w:t>
            </w:r>
            <w:r>
              <w:rPr>
                <w:rFonts w:cstheme="minorHAnsi"/>
                <w:sz w:val="24"/>
                <w:szCs w:val="24"/>
              </w:rPr>
              <w:t xml:space="preserve">accurately </w:t>
            </w:r>
            <w:r w:rsidRPr="00D7218F">
              <w:rPr>
                <w:rFonts w:cstheme="minorHAnsi"/>
                <w:sz w:val="24"/>
                <w:szCs w:val="24"/>
              </w:rPr>
              <w:t>recorded on Databridge from starting points to transition.</w:t>
            </w:r>
          </w:p>
          <w:p w14:paraId="14757D2A" w14:textId="5FD8A947" w:rsidR="00E23201" w:rsidRPr="00D7218F" w:rsidRDefault="00E23201" w:rsidP="00E23201">
            <w:pPr>
              <w:pStyle w:val="ListParagraph"/>
              <w:numPr>
                <w:ilvl w:val="0"/>
                <w:numId w:val="13"/>
              </w:numPr>
              <w:rPr>
                <w:rFonts w:cstheme="minorHAnsi"/>
                <w:color w:val="000000"/>
                <w:sz w:val="24"/>
                <w:szCs w:val="24"/>
              </w:rPr>
            </w:pPr>
            <w:r w:rsidRPr="00D7218F">
              <w:rPr>
                <w:rFonts w:cstheme="minorHAnsi"/>
                <w:color w:val="000000"/>
                <w:sz w:val="24"/>
                <w:szCs w:val="24"/>
              </w:rPr>
              <w:t xml:space="preserve">To work closely with Pastoral to ensure effective processes are in place with regards to behaviour and welfare. </w:t>
            </w:r>
          </w:p>
          <w:p w14:paraId="41E290A5" w14:textId="7B58B9DA" w:rsidR="00E23201" w:rsidRDefault="00E23201" w:rsidP="00E23201">
            <w:pPr>
              <w:pStyle w:val="Default"/>
              <w:numPr>
                <w:ilvl w:val="0"/>
                <w:numId w:val="13"/>
              </w:numPr>
              <w:rPr>
                <w:rFonts w:asciiTheme="minorHAnsi" w:hAnsiTheme="minorHAnsi" w:cstheme="minorHAnsi"/>
              </w:rPr>
            </w:pPr>
            <w:r w:rsidRPr="00E70EA4">
              <w:rPr>
                <w:rFonts w:asciiTheme="minorHAnsi" w:hAnsiTheme="minorHAnsi" w:cstheme="minorHAnsi"/>
              </w:rPr>
              <w:t>To work closely with job coach mentors and job coach tutors to assist students to secure and sustain voluntary jobs and/or paid employment. Ensuring students are provided with the opportunity to achieve employment opportunities</w:t>
            </w:r>
            <w:r>
              <w:rPr>
                <w:rFonts w:asciiTheme="minorHAnsi" w:hAnsiTheme="minorHAnsi" w:cstheme="minorHAnsi"/>
              </w:rPr>
              <w:t xml:space="preserve"> as per their EHCP.</w:t>
            </w:r>
          </w:p>
          <w:p w14:paraId="56480691" w14:textId="254894E7" w:rsidR="00E23201" w:rsidRPr="00E70EA4" w:rsidRDefault="00E23201" w:rsidP="00E23201">
            <w:pPr>
              <w:pStyle w:val="Default"/>
              <w:numPr>
                <w:ilvl w:val="0"/>
                <w:numId w:val="13"/>
              </w:numPr>
              <w:rPr>
                <w:rFonts w:asciiTheme="minorHAnsi" w:hAnsiTheme="minorHAnsi" w:cstheme="minorHAnsi"/>
              </w:rPr>
            </w:pPr>
            <w:r w:rsidRPr="00E70EA4">
              <w:rPr>
                <w:rFonts w:asciiTheme="minorHAnsi" w:hAnsiTheme="minorHAnsi" w:cstheme="minorHAnsi"/>
              </w:rPr>
              <w:t xml:space="preserve">To offer guidance and support to </w:t>
            </w:r>
            <w:r>
              <w:rPr>
                <w:rFonts w:asciiTheme="minorHAnsi" w:hAnsiTheme="minorHAnsi" w:cstheme="minorHAnsi"/>
              </w:rPr>
              <w:t>L</w:t>
            </w:r>
            <w:r w:rsidRPr="00E70EA4">
              <w:rPr>
                <w:rFonts w:asciiTheme="minorHAnsi" w:hAnsiTheme="minorHAnsi" w:cstheme="minorHAnsi"/>
              </w:rPr>
              <w:t xml:space="preserve">earning </w:t>
            </w:r>
            <w:r>
              <w:rPr>
                <w:rFonts w:asciiTheme="minorHAnsi" w:hAnsiTheme="minorHAnsi" w:cstheme="minorHAnsi"/>
              </w:rPr>
              <w:t>M</w:t>
            </w:r>
            <w:r w:rsidRPr="00E70EA4">
              <w:rPr>
                <w:rFonts w:asciiTheme="minorHAnsi" w:hAnsiTheme="minorHAnsi" w:cstheme="minorHAnsi"/>
              </w:rPr>
              <w:t xml:space="preserve">entors and </w:t>
            </w:r>
            <w:r>
              <w:rPr>
                <w:rFonts w:asciiTheme="minorHAnsi" w:hAnsiTheme="minorHAnsi" w:cstheme="minorHAnsi"/>
              </w:rPr>
              <w:t>T</w:t>
            </w:r>
            <w:r w:rsidRPr="00E70EA4">
              <w:rPr>
                <w:rFonts w:asciiTheme="minorHAnsi" w:hAnsiTheme="minorHAnsi" w:cstheme="minorHAnsi"/>
              </w:rPr>
              <w:t xml:space="preserve">utors (particularly with regards to 2-1 support). </w:t>
            </w:r>
          </w:p>
          <w:p w14:paraId="2430D267" w14:textId="22AF76AA" w:rsidR="00E23201" w:rsidRPr="00D7218F" w:rsidRDefault="00E23201" w:rsidP="00E23201">
            <w:pPr>
              <w:pStyle w:val="ListParagraph"/>
              <w:numPr>
                <w:ilvl w:val="0"/>
                <w:numId w:val="13"/>
              </w:numPr>
              <w:rPr>
                <w:rFonts w:cstheme="minorHAnsi"/>
                <w:color w:val="000000"/>
                <w:sz w:val="24"/>
                <w:szCs w:val="24"/>
              </w:rPr>
            </w:pPr>
            <w:r w:rsidRPr="00D7218F">
              <w:rPr>
                <w:rFonts w:cstheme="minorHAnsi"/>
                <w:color w:val="000000"/>
                <w:sz w:val="24"/>
                <w:szCs w:val="24"/>
              </w:rPr>
              <w:t xml:space="preserve">Provide support, leadership and guidance to </w:t>
            </w:r>
            <w:r>
              <w:rPr>
                <w:rFonts w:cstheme="minorHAnsi"/>
                <w:color w:val="000000"/>
                <w:sz w:val="24"/>
                <w:szCs w:val="24"/>
              </w:rPr>
              <w:t xml:space="preserve">the education </w:t>
            </w:r>
            <w:r w:rsidRPr="00D7218F">
              <w:rPr>
                <w:rFonts w:cstheme="minorHAnsi"/>
                <w:color w:val="000000"/>
                <w:sz w:val="24"/>
                <w:szCs w:val="24"/>
              </w:rPr>
              <w:t>team through mentoring, positive examples and the promotion of person-centred approaches.</w:t>
            </w:r>
          </w:p>
          <w:p w14:paraId="00047836" w14:textId="77777777" w:rsidR="00E23201" w:rsidRPr="00D7218F" w:rsidRDefault="00E23201" w:rsidP="00E23201">
            <w:pPr>
              <w:pStyle w:val="ListParagraph"/>
              <w:numPr>
                <w:ilvl w:val="0"/>
                <w:numId w:val="13"/>
              </w:numPr>
              <w:rPr>
                <w:rFonts w:cstheme="minorHAnsi"/>
                <w:color w:val="000000"/>
                <w:sz w:val="24"/>
                <w:szCs w:val="24"/>
              </w:rPr>
            </w:pPr>
            <w:r w:rsidRPr="00D7218F">
              <w:rPr>
                <w:rFonts w:cstheme="minorHAnsi"/>
                <w:color w:val="000000"/>
                <w:sz w:val="24"/>
                <w:szCs w:val="24"/>
              </w:rPr>
              <w:t>To demonstrate a commitment to the Safeguarding of Children and Adults and to recognise and report any disclosure, suspicion or evidence of harm, risk of harm, abuse or neglect in line with United Response’s Safeguarding policies.</w:t>
            </w:r>
          </w:p>
          <w:p w14:paraId="17866190" w14:textId="7DCCE0C5"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Participation in appropriate staff development opportunities and inset days to up-date or develop new skills.</w:t>
            </w:r>
          </w:p>
          <w:p w14:paraId="46846B56" w14:textId="00CB6FA3"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Undertake the regular supervision and support of learning Tutors and Mentor’s, identifying developmental opportunities where required, including the daily management of internal communication.</w:t>
            </w:r>
          </w:p>
          <w:p w14:paraId="6116932A"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Ensure staff are effectively inducted through local / United Response induction procedures</w:t>
            </w:r>
          </w:p>
          <w:p w14:paraId="3A18A08E" w14:textId="205E01A6"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 xml:space="preserve">Facilitate EHCP meetings and ensure </w:t>
            </w:r>
            <w:r>
              <w:rPr>
                <w:rFonts w:asciiTheme="minorHAnsi" w:hAnsiTheme="minorHAnsi" w:cstheme="minorHAnsi"/>
              </w:rPr>
              <w:t>L</w:t>
            </w:r>
            <w:r w:rsidRPr="00D7218F">
              <w:rPr>
                <w:rFonts w:asciiTheme="minorHAnsi" w:hAnsiTheme="minorHAnsi" w:cstheme="minorHAnsi"/>
              </w:rPr>
              <w:t>earning Tutors/ Mentors and EHCP Coordinator is aware of reviews and implementation of individual plans</w:t>
            </w:r>
            <w:r>
              <w:rPr>
                <w:rFonts w:asciiTheme="minorHAnsi" w:hAnsiTheme="minorHAnsi" w:cstheme="minorHAnsi"/>
              </w:rPr>
              <w:t>.</w:t>
            </w:r>
          </w:p>
          <w:p w14:paraId="5DD42972" w14:textId="274FB6AC" w:rsidR="00E23201" w:rsidRPr="00D7218F" w:rsidRDefault="00E23201" w:rsidP="00E23201">
            <w:pPr>
              <w:pStyle w:val="ListParagraph"/>
              <w:numPr>
                <w:ilvl w:val="0"/>
                <w:numId w:val="13"/>
              </w:numPr>
              <w:rPr>
                <w:rFonts w:cstheme="minorHAnsi"/>
                <w:color w:val="000000"/>
                <w:sz w:val="24"/>
                <w:szCs w:val="24"/>
              </w:rPr>
            </w:pPr>
            <w:r w:rsidRPr="00D7218F">
              <w:rPr>
                <w:rFonts w:cstheme="minorHAnsi"/>
                <w:color w:val="000000"/>
                <w:sz w:val="24"/>
                <w:szCs w:val="24"/>
              </w:rPr>
              <w:t>Support students to establish community links with the local neighbourhood</w:t>
            </w:r>
          </w:p>
          <w:p w14:paraId="2F46EDA8"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Ensure staff are given the appropriate mandatory and non-mandatory training to perform in their jobs</w:t>
            </w:r>
          </w:p>
          <w:p w14:paraId="4F180771" w14:textId="2664537A"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 xml:space="preserve">Manage and staff at return to work meetings following sickness absence with guidance from HR and Assistant Vice Principal. </w:t>
            </w:r>
          </w:p>
          <w:p w14:paraId="67E269D7" w14:textId="0B416AF9"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lastRenderedPageBreak/>
              <w:t>Manage performance issues engaging the appropriate informal / formal processes where necessary and with guidance from HR and Assistant Vice Principal</w:t>
            </w:r>
          </w:p>
          <w:p w14:paraId="402AF0DB" w14:textId="25395E45" w:rsidR="00E23201" w:rsidRPr="00E70EA4"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Manage the staffing resources of the service including rota management and staff budgets</w:t>
            </w:r>
          </w:p>
          <w:p w14:paraId="4A66CA9D"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Undertake United Response quality and Health and safety checks as required</w:t>
            </w:r>
          </w:p>
          <w:p w14:paraId="6477C6B2"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Facilitate team meetings, acting as Chair when required.</w:t>
            </w:r>
          </w:p>
          <w:p w14:paraId="620E7673"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Take responsibility for legal notifications in respect to Health and Safety requirements</w:t>
            </w:r>
          </w:p>
          <w:p w14:paraId="13F7329C" w14:textId="1EEDD2B5"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Support and develops relationships with stakeholders including families, advocates, Local Authority and care managers</w:t>
            </w:r>
          </w:p>
          <w:p w14:paraId="0D5D5814" w14:textId="77777777"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Support staff to carry out required Quality assurance tasks in; lesson planning and evaluation</w:t>
            </w:r>
          </w:p>
          <w:p w14:paraId="51089CBB" w14:textId="58CAD741"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To carry out teaching observations in line with</w:t>
            </w:r>
            <w:r>
              <w:rPr>
                <w:rFonts w:asciiTheme="minorHAnsi" w:hAnsiTheme="minorHAnsi" w:cstheme="minorHAnsi"/>
              </w:rPr>
              <w:t xml:space="preserve"> ROC College’s</w:t>
            </w:r>
            <w:r w:rsidRPr="00D7218F">
              <w:rPr>
                <w:rFonts w:asciiTheme="minorHAnsi" w:hAnsiTheme="minorHAnsi" w:cstheme="minorHAnsi"/>
              </w:rPr>
              <w:t xml:space="preserve"> Quality Assurance Calendar</w:t>
            </w:r>
          </w:p>
          <w:p w14:paraId="527184E1" w14:textId="79340E3B" w:rsidR="00E23201" w:rsidRPr="00D7218F"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 xml:space="preserve">To support senior managers to action areas for improvement outlined in SAR and Ofsted reports  </w:t>
            </w:r>
          </w:p>
          <w:p w14:paraId="6803887F" w14:textId="77777777" w:rsidR="00E23201" w:rsidRPr="00974B0E" w:rsidRDefault="00E23201" w:rsidP="00E23201">
            <w:pPr>
              <w:pStyle w:val="Default"/>
              <w:numPr>
                <w:ilvl w:val="0"/>
                <w:numId w:val="13"/>
              </w:numPr>
              <w:rPr>
                <w:rFonts w:asciiTheme="minorHAnsi" w:hAnsiTheme="minorHAnsi" w:cstheme="minorHAnsi"/>
              </w:rPr>
            </w:pPr>
            <w:r w:rsidRPr="00D7218F">
              <w:rPr>
                <w:rFonts w:asciiTheme="minorHAnsi" w:hAnsiTheme="minorHAnsi" w:cstheme="minorHAnsi"/>
              </w:rPr>
              <w:t>To undertake any other reasonable duties as requested.</w:t>
            </w:r>
          </w:p>
          <w:p w14:paraId="6A986B64" w14:textId="77777777" w:rsidR="00E23201" w:rsidRPr="002856F7" w:rsidRDefault="00E23201" w:rsidP="00E23201">
            <w:pPr>
              <w:pStyle w:val="Default"/>
              <w:ind w:left="720"/>
              <w:rPr>
                <w:sz w:val="23"/>
                <w:szCs w:val="23"/>
              </w:rPr>
            </w:pPr>
          </w:p>
        </w:tc>
      </w:tr>
      <w:tr w:rsidR="00E23201" w:rsidRPr="00AF40D0" w14:paraId="39F0C202" w14:textId="77777777" w:rsidTr="00F221A5">
        <w:tc>
          <w:tcPr>
            <w:tcW w:w="2547" w:type="dxa"/>
          </w:tcPr>
          <w:p w14:paraId="2836AF67" w14:textId="77777777" w:rsidR="00E23201" w:rsidRPr="00941C5A" w:rsidRDefault="00E23201" w:rsidP="00E23201">
            <w:pPr>
              <w:rPr>
                <w:rFonts w:ascii="Arial" w:hAnsi="Arial" w:cs="Arial"/>
                <w:b/>
              </w:rPr>
            </w:pPr>
            <w:r w:rsidRPr="00941C5A">
              <w:rPr>
                <w:rFonts w:ascii="Arial" w:hAnsi="Arial" w:cs="Arial"/>
                <w:b/>
              </w:rPr>
              <w:lastRenderedPageBreak/>
              <w:t>Person specification</w:t>
            </w:r>
          </w:p>
          <w:p w14:paraId="54F3B7FE" w14:textId="77777777" w:rsidR="00E23201" w:rsidRPr="00941C5A" w:rsidRDefault="00E23201" w:rsidP="00E23201">
            <w:pPr>
              <w:rPr>
                <w:rFonts w:ascii="Arial" w:hAnsi="Arial" w:cs="Arial"/>
                <w:b/>
              </w:rPr>
            </w:pPr>
          </w:p>
          <w:p w14:paraId="24E6603E" w14:textId="77777777" w:rsidR="00E23201" w:rsidRPr="00941C5A" w:rsidRDefault="00E23201" w:rsidP="00E23201">
            <w:pPr>
              <w:rPr>
                <w:rFonts w:ascii="Arial" w:hAnsi="Arial" w:cs="Arial"/>
                <w:b/>
              </w:rPr>
            </w:pPr>
          </w:p>
        </w:tc>
        <w:tc>
          <w:tcPr>
            <w:tcW w:w="6469" w:type="dxa"/>
            <w:gridSpan w:val="2"/>
          </w:tcPr>
          <w:p w14:paraId="3507039D" w14:textId="77777777" w:rsidR="00E23201" w:rsidRDefault="00E23201" w:rsidP="00E23201">
            <w:pPr>
              <w:rPr>
                <w:rFonts w:ascii="Arial" w:hAnsi="Arial" w:cs="Arial"/>
                <w:b/>
              </w:rPr>
            </w:pPr>
            <w:r>
              <w:rPr>
                <w:rFonts w:ascii="Arial" w:hAnsi="Arial" w:cs="Arial"/>
                <w:b/>
              </w:rPr>
              <w:t>Essential C</w:t>
            </w:r>
            <w:r w:rsidRPr="00941C5A">
              <w:rPr>
                <w:rFonts w:ascii="Arial" w:hAnsi="Arial" w:cs="Arial"/>
                <w:b/>
              </w:rPr>
              <w:t xml:space="preserve">riteria </w:t>
            </w:r>
          </w:p>
          <w:p w14:paraId="692276C0" w14:textId="77777777" w:rsidR="00E23201" w:rsidRPr="00941C5A" w:rsidRDefault="00E23201" w:rsidP="00E23201">
            <w:pPr>
              <w:rPr>
                <w:rFonts w:ascii="Arial" w:hAnsi="Arial" w:cs="Arial"/>
                <w:b/>
              </w:rPr>
            </w:pPr>
          </w:p>
          <w:p w14:paraId="6315F7C5" w14:textId="71664245" w:rsidR="00E23201" w:rsidRPr="00D7218F" w:rsidRDefault="00E23201" w:rsidP="00E23201">
            <w:pPr>
              <w:pStyle w:val="ListParagraph"/>
              <w:numPr>
                <w:ilvl w:val="0"/>
                <w:numId w:val="7"/>
              </w:numPr>
              <w:rPr>
                <w:rFonts w:cstheme="minorHAnsi"/>
                <w:sz w:val="24"/>
                <w:szCs w:val="24"/>
              </w:rPr>
            </w:pPr>
            <w:r>
              <w:rPr>
                <w:rFonts w:cstheme="minorHAnsi"/>
                <w:sz w:val="24"/>
                <w:szCs w:val="24"/>
              </w:rPr>
              <w:t>Level 3 AET</w:t>
            </w:r>
            <w:r w:rsidRPr="00D7218F">
              <w:rPr>
                <w:rFonts w:cstheme="minorHAnsi"/>
                <w:sz w:val="24"/>
                <w:szCs w:val="24"/>
              </w:rPr>
              <w:t xml:space="preserve"> or equivalent</w:t>
            </w:r>
          </w:p>
          <w:p w14:paraId="34AA0D4E" w14:textId="062CAB9B"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Experience of supporting students with a learning disability and/or mental health need</w:t>
            </w:r>
          </w:p>
          <w:p w14:paraId="5C46AE09" w14:textId="5302A9E9"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Passionate about making a difference and the work of United Response.</w:t>
            </w:r>
          </w:p>
          <w:p w14:paraId="1E8F83C9"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 xml:space="preserve">Experience of supervising and motivating staff. </w:t>
            </w:r>
          </w:p>
          <w:p w14:paraId="02BF7ACF"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 xml:space="preserve">Clear written and verbal communication style. </w:t>
            </w:r>
          </w:p>
          <w:p w14:paraId="06D700F0"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 xml:space="preserve">IT literate and confident in the use of different IT systems / packages. </w:t>
            </w:r>
          </w:p>
          <w:p w14:paraId="014BB157"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Willing to undertake required training, sometimes off site and outside normal working hours.</w:t>
            </w:r>
          </w:p>
          <w:p w14:paraId="4FDEF8EA"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Willing and able to travel between locations as required.</w:t>
            </w:r>
          </w:p>
          <w:p w14:paraId="37FFFAEF"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Available for flexible working patterns if required</w:t>
            </w:r>
          </w:p>
          <w:p w14:paraId="2EC2B5C0" w14:textId="4C0BA821"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Experience in working with educational commissioners and assisting with education referrals</w:t>
            </w:r>
          </w:p>
          <w:p w14:paraId="7EC35100"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Experience in supporting students that display behaviours that challenge and training in de-escalation</w:t>
            </w:r>
          </w:p>
          <w:p w14:paraId="26076D6E"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Track record in all aspects of job coaching including employer engagement, supporting students in work experience, supporting students into paid work and supporting staff to achieve these goals.</w:t>
            </w:r>
          </w:p>
          <w:p w14:paraId="05FDD554" w14:textId="1508CDF2"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t>Experience in writing and facilitating EHC Plan meetings</w:t>
            </w:r>
          </w:p>
          <w:p w14:paraId="0DD16C46" w14:textId="042C6C7F" w:rsidR="00E23201" w:rsidRPr="00D7218F" w:rsidRDefault="00E23201" w:rsidP="00E23201">
            <w:pPr>
              <w:rPr>
                <w:rFonts w:cstheme="minorHAnsi"/>
                <w:sz w:val="24"/>
                <w:szCs w:val="24"/>
              </w:rPr>
            </w:pPr>
            <w:r w:rsidRPr="00D7218F">
              <w:rPr>
                <w:rFonts w:cstheme="minorHAnsi"/>
                <w:sz w:val="24"/>
                <w:szCs w:val="24"/>
              </w:rPr>
              <w:t>Desirable</w:t>
            </w:r>
          </w:p>
          <w:p w14:paraId="5226D26A" w14:textId="77777777" w:rsidR="00E23201" w:rsidRPr="00D7218F" w:rsidRDefault="00E23201" w:rsidP="00E23201">
            <w:pPr>
              <w:pStyle w:val="ListParagraph"/>
              <w:numPr>
                <w:ilvl w:val="0"/>
                <w:numId w:val="7"/>
              </w:numPr>
              <w:rPr>
                <w:rFonts w:cstheme="minorHAnsi"/>
                <w:sz w:val="24"/>
                <w:szCs w:val="24"/>
              </w:rPr>
            </w:pPr>
            <w:r w:rsidRPr="00D7218F">
              <w:rPr>
                <w:rFonts w:cstheme="minorHAnsi"/>
                <w:sz w:val="24"/>
                <w:szCs w:val="24"/>
              </w:rPr>
              <w:lastRenderedPageBreak/>
              <w:t>Qualified Teacher, PGCE or Cert’Ed or equivalent. Desirable</w:t>
            </w:r>
          </w:p>
          <w:p w14:paraId="75EDAC1D" w14:textId="1011AA18" w:rsidR="00E23201" w:rsidRPr="00277B94" w:rsidRDefault="00E23201" w:rsidP="00277B94">
            <w:pPr>
              <w:rPr>
                <w:rFonts w:ascii="Arial" w:hAnsi="Arial" w:cs="Arial"/>
              </w:rPr>
            </w:pPr>
          </w:p>
        </w:tc>
      </w:tr>
    </w:tbl>
    <w:p w14:paraId="644F88BD" w14:textId="77777777" w:rsidR="00177F4E" w:rsidRDefault="00177F4E"/>
    <w:sectPr w:rsidR="00177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785A2"/>
    <w:multiLevelType w:val="hybridMultilevel"/>
    <w:tmpl w:val="F99260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7B3BDB"/>
    <w:multiLevelType w:val="hybridMultilevel"/>
    <w:tmpl w:val="4396F5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BE8AC9"/>
    <w:multiLevelType w:val="hybridMultilevel"/>
    <w:tmpl w:val="E87325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5254C4"/>
    <w:multiLevelType w:val="hybridMultilevel"/>
    <w:tmpl w:val="12A36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D63DEA"/>
    <w:multiLevelType w:val="multilevel"/>
    <w:tmpl w:val="E8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5661"/>
    <w:multiLevelType w:val="multilevel"/>
    <w:tmpl w:val="18A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987D"/>
    <w:multiLevelType w:val="hybridMultilevel"/>
    <w:tmpl w:val="794870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C4722D"/>
    <w:multiLevelType w:val="multilevel"/>
    <w:tmpl w:val="CCE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AC10B"/>
    <w:multiLevelType w:val="hybridMultilevel"/>
    <w:tmpl w:val="D07C2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B41DDA"/>
    <w:multiLevelType w:val="hybridMultilevel"/>
    <w:tmpl w:val="A76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E7025"/>
    <w:multiLevelType w:val="hybridMultilevel"/>
    <w:tmpl w:val="134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9694D"/>
    <w:multiLevelType w:val="hybridMultilevel"/>
    <w:tmpl w:val="1828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07BE3"/>
    <w:multiLevelType w:val="hybridMultilevel"/>
    <w:tmpl w:val="D8BDB9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926FBF3"/>
    <w:multiLevelType w:val="hybridMultilevel"/>
    <w:tmpl w:val="901C209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F055B7"/>
    <w:multiLevelType w:val="hybridMultilevel"/>
    <w:tmpl w:val="1D4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33AC4"/>
    <w:multiLevelType w:val="hybridMultilevel"/>
    <w:tmpl w:val="7BB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1"/>
  </w:num>
  <w:num w:numId="5">
    <w:abstractNumId w:val="3"/>
  </w:num>
  <w:num w:numId="6">
    <w:abstractNumId w:val="12"/>
  </w:num>
  <w:num w:numId="7">
    <w:abstractNumId w:val="15"/>
  </w:num>
  <w:num w:numId="8">
    <w:abstractNumId w:val="9"/>
  </w:num>
  <w:num w:numId="9">
    <w:abstractNumId w:val="14"/>
  </w:num>
  <w:num w:numId="10">
    <w:abstractNumId w:val="10"/>
  </w:num>
  <w:num w:numId="11">
    <w:abstractNumId w:val="6"/>
  </w:num>
  <w:num w:numId="12">
    <w:abstractNumId w:val="8"/>
  </w:num>
  <w:num w:numId="13">
    <w:abstractNumId w:val="11"/>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DD"/>
    <w:rsid w:val="00003F78"/>
    <w:rsid w:val="000219E0"/>
    <w:rsid w:val="00045A1E"/>
    <w:rsid w:val="00063665"/>
    <w:rsid w:val="00072037"/>
    <w:rsid w:val="0008085E"/>
    <w:rsid w:val="000B07A6"/>
    <w:rsid w:val="000B76EB"/>
    <w:rsid w:val="001167F6"/>
    <w:rsid w:val="00177F4E"/>
    <w:rsid w:val="001A5601"/>
    <w:rsid w:val="001C347E"/>
    <w:rsid w:val="001F1826"/>
    <w:rsid w:val="00203A9C"/>
    <w:rsid w:val="00234F26"/>
    <w:rsid w:val="0027090B"/>
    <w:rsid w:val="00277B94"/>
    <w:rsid w:val="002856F7"/>
    <w:rsid w:val="0029725D"/>
    <w:rsid w:val="002D529C"/>
    <w:rsid w:val="002E74D8"/>
    <w:rsid w:val="003260EA"/>
    <w:rsid w:val="003460FC"/>
    <w:rsid w:val="00383F49"/>
    <w:rsid w:val="003C4A01"/>
    <w:rsid w:val="00454FEA"/>
    <w:rsid w:val="004813C0"/>
    <w:rsid w:val="004A51F8"/>
    <w:rsid w:val="004B34AC"/>
    <w:rsid w:val="004D621C"/>
    <w:rsid w:val="00501761"/>
    <w:rsid w:val="00590B78"/>
    <w:rsid w:val="00596C4F"/>
    <w:rsid w:val="0069595E"/>
    <w:rsid w:val="006D015A"/>
    <w:rsid w:val="0070760E"/>
    <w:rsid w:val="00737BEF"/>
    <w:rsid w:val="007569D3"/>
    <w:rsid w:val="007B1BFB"/>
    <w:rsid w:val="007C0C5B"/>
    <w:rsid w:val="00804FEB"/>
    <w:rsid w:val="00842257"/>
    <w:rsid w:val="00843178"/>
    <w:rsid w:val="00873C40"/>
    <w:rsid w:val="008E06F2"/>
    <w:rsid w:val="00915EFD"/>
    <w:rsid w:val="00924BEF"/>
    <w:rsid w:val="009407EA"/>
    <w:rsid w:val="00941C5A"/>
    <w:rsid w:val="0095233C"/>
    <w:rsid w:val="00960B77"/>
    <w:rsid w:val="00974B0E"/>
    <w:rsid w:val="009B7813"/>
    <w:rsid w:val="00A11132"/>
    <w:rsid w:val="00A234DD"/>
    <w:rsid w:val="00A8105E"/>
    <w:rsid w:val="00A90669"/>
    <w:rsid w:val="00AB2602"/>
    <w:rsid w:val="00AF40D0"/>
    <w:rsid w:val="00B1593B"/>
    <w:rsid w:val="00B3211B"/>
    <w:rsid w:val="00B40D0C"/>
    <w:rsid w:val="00B578DA"/>
    <w:rsid w:val="00BA104D"/>
    <w:rsid w:val="00BB49E0"/>
    <w:rsid w:val="00C204EE"/>
    <w:rsid w:val="00C306DD"/>
    <w:rsid w:val="00C42D98"/>
    <w:rsid w:val="00C472CB"/>
    <w:rsid w:val="00CC1A09"/>
    <w:rsid w:val="00CD7B3C"/>
    <w:rsid w:val="00CF6DD2"/>
    <w:rsid w:val="00D447AB"/>
    <w:rsid w:val="00D7218F"/>
    <w:rsid w:val="00D74068"/>
    <w:rsid w:val="00D92DE3"/>
    <w:rsid w:val="00E14F01"/>
    <w:rsid w:val="00E23201"/>
    <w:rsid w:val="00E70EA4"/>
    <w:rsid w:val="00EC3C8E"/>
    <w:rsid w:val="00EF406C"/>
    <w:rsid w:val="00F221A5"/>
    <w:rsid w:val="00F3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34BC"/>
  <w15:chartTrackingRefBased/>
  <w15:docId w15:val="{A47A93FC-2F90-408A-9D7D-B485CCFA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1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F40D0"/>
    <w:pPr>
      <w:ind w:left="720"/>
      <w:contextualSpacing/>
    </w:pPr>
  </w:style>
  <w:style w:type="paragraph" w:styleId="BodyText2">
    <w:name w:val="Body Text 2"/>
    <w:basedOn w:val="Normal"/>
    <w:link w:val="BodyText2Char"/>
    <w:rsid w:val="008E06F2"/>
    <w:pPr>
      <w:spacing w:after="120" w:line="48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8E06F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84964">
      <w:bodyDiv w:val="1"/>
      <w:marLeft w:val="0"/>
      <w:marRight w:val="0"/>
      <w:marTop w:val="0"/>
      <w:marBottom w:val="0"/>
      <w:divBdr>
        <w:top w:val="none" w:sz="0" w:space="0" w:color="auto"/>
        <w:left w:val="none" w:sz="0" w:space="0" w:color="auto"/>
        <w:bottom w:val="none" w:sz="0" w:space="0" w:color="auto"/>
        <w:right w:val="none" w:sz="0" w:space="0" w:color="auto"/>
      </w:divBdr>
    </w:div>
    <w:div w:id="932935759">
      <w:bodyDiv w:val="1"/>
      <w:marLeft w:val="0"/>
      <w:marRight w:val="0"/>
      <w:marTop w:val="0"/>
      <w:marBottom w:val="0"/>
      <w:divBdr>
        <w:top w:val="none" w:sz="0" w:space="0" w:color="auto"/>
        <w:left w:val="none" w:sz="0" w:space="0" w:color="auto"/>
        <w:bottom w:val="none" w:sz="0" w:space="0" w:color="auto"/>
        <w:right w:val="none" w:sz="0" w:space="0" w:color="auto"/>
      </w:divBdr>
    </w:div>
    <w:div w:id="10444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7BDF7E9B75A141AA75B4BEF5FA4C9A" ma:contentTypeVersion="5" ma:contentTypeDescription="Create a new document." ma:contentTypeScope="" ma:versionID="a9c2566e9796ae2fb8475dfe4a196069">
  <xsd:schema xmlns:xsd="http://www.w3.org/2001/XMLSchema" xmlns:xs="http://www.w3.org/2001/XMLSchema" xmlns:p="http://schemas.microsoft.com/office/2006/metadata/properties" xmlns:ns2="e4e30b2f-3bc6-40b0-a278-69f73c7b199d" xmlns:ns3="af96b13a-4e69-48cb-8af0-8ec0b2a50568" targetNamespace="http://schemas.microsoft.com/office/2006/metadata/properties" ma:root="true" ma:fieldsID="791b3cf2ea526b4c3a0e4cb9aecbfe2c" ns2:_="" ns3:_="">
    <xsd:import namespace="e4e30b2f-3bc6-40b0-a278-69f73c7b199d"/>
    <xsd:import namespace="af96b13a-4e69-48cb-8af0-8ec0b2a505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0b2f-3bc6-40b0-a278-69f73c7b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6b13a-4e69-48cb-8af0-8ec0b2a505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6A792-B848-42BF-AB83-8C37AE587C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07CA4A-B91E-41BD-97A7-B85544F5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0b2f-3bc6-40b0-a278-69f73c7b199d"/>
    <ds:schemaRef ds:uri="af96b13a-4e69-48cb-8af0-8ec0b2a50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BEBF3-41B6-46D9-BEDE-5367FB537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Response</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Davies</dc:creator>
  <cp:keywords/>
  <dc:description/>
  <cp:lastModifiedBy>Rose Mortimore</cp:lastModifiedBy>
  <cp:revision>12</cp:revision>
  <dcterms:created xsi:type="dcterms:W3CDTF">2023-07-19T14:27:00Z</dcterms:created>
  <dcterms:modified xsi:type="dcterms:W3CDTF">2024-01-15T15:18:00Z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0x0101001C7BDF7E9B75A141AA75B4BEF5FA4C9A</vt:lpwstr>
  </property>
</Properties>
</file>