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43"/>
        <w:gridCol w:w="6299"/>
      </w:tblGrid>
      <w:tr w:rsidR="00031B93" w:rsidTr="00F6096A">
        <w:tc>
          <w:tcPr>
            <w:tcW w:w="2943" w:type="dxa"/>
          </w:tcPr>
          <w:p w:rsidR="00A7645D" w:rsidRPr="00390440" w:rsidRDefault="00DA3123" w:rsidP="00A7645D">
            <w:pPr>
              <w:rPr>
                <w:b/>
              </w:rPr>
            </w:pPr>
            <w:r>
              <w:rPr>
                <w:b/>
              </w:rPr>
              <w:t>Post Title:</w:t>
            </w:r>
          </w:p>
        </w:tc>
        <w:tc>
          <w:tcPr>
            <w:tcW w:w="6299" w:type="dxa"/>
          </w:tcPr>
          <w:p w:rsidR="00A7645D" w:rsidRPr="00286E61" w:rsidRDefault="00C71D84" w:rsidP="00136FC6">
            <w:pPr>
              <w:rPr>
                <w:b/>
              </w:rPr>
            </w:pPr>
            <w:r>
              <w:rPr>
                <w:b/>
              </w:rPr>
              <w:t xml:space="preserve">Librarian </w:t>
            </w:r>
          </w:p>
        </w:tc>
      </w:tr>
      <w:tr w:rsidR="00031B93" w:rsidTr="00F6096A">
        <w:tc>
          <w:tcPr>
            <w:tcW w:w="2943" w:type="dxa"/>
          </w:tcPr>
          <w:p w:rsidR="00A7645D" w:rsidRDefault="00DA3123" w:rsidP="00A7645D">
            <w:pPr>
              <w:rPr>
                <w:b/>
              </w:rPr>
            </w:pPr>
            <w:r>
              <w:rPr>
                <w:b/>
              </w:rPr>
              <w:t>Job Purpose:</w:t>
            </w:r>
          </w:p>
        </w:tc>
        <w:tc>
          <w:tcPr>
            <w:tcW w:w="6299" w:type="dxa"/>
          </w:tcPr>
          <w:p w:rsidR="004D1150" w:rsidRDefault="004D1150" w:rsidP="004D1150">
            <w:pPr>
              <w:pStyle w:val="Default"/>
              <w:rPr>
                <w:sz w:val="22"/>
                <w:szCs w:val="22"/>
              </w:rPr>
            </w:pPr>
            <w:r>
              <w:rPr>
                <w:sz w:val="22"/>
                <w:szCs w:val="22"/>
              </w:rPr>
              <w:t xml:space="preserve">To manage and maintain the learning resource centre for the benefit and support of student learning and staff continuing development. </w:t>
            </w:r>
          </w:p>
          <w:p w:rsidR="004D1150" w:rsidRDefault="004D1150" w:rsidP="004D1150">
            <w:pPr>
              <w:pStyle w:val="Default"/>
              <w:rPr>
                <w:sz w:val="22"/>
                <w:szCs w:val="22"/>
              </w:rPr>
            </w:pPr>
            <w:r>
              <w:rPr>
                <w:sz w:val="22"/>
                <w:szCs w:val="22"/>
              </w:rPr>
              <w:t xml:space="preserve">To provide a relevant service meeting the needs of teachers, students, governors and the whole school community. </w:t>
            </w:r>
          </w:p>
          <w:p w:rsidR="00C82829" w:rsidRPr="00921C1D" w:rsidRDefault="004D1150" w:rsidP="004D1150">
            <w:r>
              <w:t>Help students make the most effective use of resources to assist teaching and learning.</w:t>
            </w:r>
          </w:p>
        </w:tc>
      </w:tr>
      <w:tr w:rsidR="00031B93" w:rsidTr="00F6096A">
        <w:tc>
          <w:tcPr>
            <w:tcW w:w="2943" w:type="dxa"/>
          </w:tcPr>
          <w:p w:rsidR="00A7645D" w:rsidRDefault="00DA3123" w:rsidP="00A7645D">
            <w:pPr>
              <w:rPr>
                <w:b/>
              </w:rPr>
            </w:pPr>
            <w:r>
              <w:rPr>
                <w:b/>
              </w:rPr>
              <w:t xml:space="preserve">Responsible </w:t>
            </w:r>
            <w:r w:rsidR="00031B93">
              <w:rPr>
                <w:b/>
              </w:rPr>
              <w:t>t</w:t>
            </w:r>
            <w:r>
              <w:rPr>
                <w:b/>
              </w:rPr>
              <w:t>o:</w:t>
            </w:r>
            <w:r w:rsidR="00A7645D">
              <w:rPr>
                <w:b/>
              </w:rPr>
              <w:t xml:space="preserve"> </w:t>
            </w:r>
          </w:p>
        </w:tc>
        <w:tc>
          <w:tcPr>
            <w:tcW w:w="6299" w:type="dxa"/>
          </w:tcPr>
          <w:p w:rsidR="00C23378" w:rsidRDefault="001C2B68" w:rsidP="00D01B28">
            <w:pPr>
              <w:spacing w:line="240" w:lineRule="auto"/>
            </w:pPr>
            <w:r>
              <w:t xml:space="preserve">Vice Principal </w:t>
            </w:r>
          </w:p>
        </w:tc>
      </w:tr>
      <w:tr w:rsidR="00031B93" w:rsidTr="00F6096A">
        <w:tc>
          <w:tcPr>
            <w:tcW w:w="2943" w:type="dxa"/>
          </w:tcPr>
          <w:p w:rsidR="00A7645D" w:rsidRDefault="00DA3123" w:rsidP="00A7645D">
            <w:pPr>
              <w:rPr>
                <w:b/>
              </w:rPr>
            </w:pPr>
            <w:r>
              <w:rPr>
                <w:b/>
              </w:rPr>
              <w:t>R</w:t>
            </w:r>
            <w:r w:rsidR="00031B93">
              <w:rPr>
                <w:b/>
              </w:rPr>
              <w:t>esponsible f</w:t>
            </w:r>
            <w:r>
              <w:rPr>
                <w:b/>
              </w:rPr>
              <w:t>or:</w:t>
            </w:r>
          </w:p>
        </w:tc>
        <w:tc>
          <w:tcPr>
            <w:tcW w:w="6299" w:type="dxa"/>
          </w:tcPr>
          <w:p w:rsidR="006970BC" w:rsidRDefault="004D1150" w:rsidP="00D4065F">
            <w:pPr>
              <w:spacing w:line="240" w:lineRule="auto"/>
            </w:pPr>
            <w:r>
              <w:t xml:space="preserve">Leading </w:t>
            </w:r>
            <w:r w:rsidRPr="00C71D84">
              <w:t>delivery of a professional, inclusive and customer-focused library service, responsive to the information and learni</w:t>
            </w:r>
            <w:r>
              <w:t>ng needs of students and staff.</w:t>
            </w:r>
          </w:p>
          <w:p w:rsidR="00136FC6" w:rsidRDefault="009F054A" w:rsidP="00D4065F">
            <w:pPr>
              <w:spacing w:line="240" w:lineRule="auto"/>
            </w:pPr>
            <w:r>
              <w:t>Administration</w:t>
            </w:r>
          </w:p>
          <w:p w:rsidR="004D1150" w:rsidRDefault="004D1150" w:rsidP="00FF28A7">
            <w:pPr>
              <w:spacing w:line="240" w:lineRule="auto"/>
            </w:pPr>
          </w:p>
          <w:p w:rsidR="00786E5E" w:rsidRDefault="00786E5E" w:rsidP="00FF28A7">
            <w:pPr>
              <w:spacing w:line="240" w:lineRule="auto"/>
            </w:pPr>
          </w:p>
        </w:tc>
      </w:tr>
      <w:tr w:rsidR="00031B93" w:rsidTr="00F6096A">
        <w:tc>
          <w:tcPr>
            <w:tcW w:w="2943" w:type="dxa"/>
          </w:tcPr>
          <w:p w:rsidR="00A7645D" w:rsidRDefault="00DA3123" w:rsidP="00A7645D">
            <w:pPr>
              <w:rPr>
                <w:b/>
              </w:rPr>
            </w:pPr>
            <w:r>
              <w:rPr>
                <w:b/>
              </w:rPr>
              <w:t>L</w:t>
            </w:r>
            <w:r w:rsidR="00031B93">
              <w:rPr>
                <w:b/>
              </w:rPr>
              <w:t>iaising w</w:t>
            </w:r>
            <w:r>
              <w:rPr>
                <w:b/>
              </w:rPr>
              <w:t>ith (Working R</w:t>
            </w:r>
            <w:r w:rsidR="00A7645D">
              <w:rPr>
                <w:b/>
              </w:rPr>
              <w:t>elationships)</w:t>
            </w:r>
            <w:r>
              <w:rPr>
                <w:b/>
              </w:rPr>
              <w:t>:</w:t>
            </w:r>
          </w:p>
        </w:tc>
        <w:tc>
          <w:tcPr>
            <w:tcW w:w="6299" w:type="dxa"/>
          </w:tcPr>
          <w:p w:rsidR="004D1150" w:rsidRDefault="004D1150" w:rsidP="007F2A87">
            <w:pPr>
              <w:spacing w:line="240" w:lineRule="auto"/>
            </w:pPr>
            <w:r>
              <w:t xml:space="preserve">Teachers </w:t>
            </w:r>
          </w:p>
          <w:p w:rsidR="004D1150" w:rsidRDefault="004D1150" w:rsidP="007F2A87">
            <w:pPr>
              <w:spacing w:line="240" w:lineRule="auto"/>
            </w:pPr>
            <w:r>
              <w:t xml:space="preserve">DOL English </w:t>
            </w:r>
          </w:p>
          <w:p w:rsidR="006970BC" w:rsidRDefault="00FF28A7" w:rsidP="007F2A87">
            <w:pPr>
              <w:spacing w:line="240" w:lineRule="auto"/>
            </w:pPr>
            <w:r>
              <w:t>Principal</w:t>
            </w:r>
          </w:p>
          <w:p w:rsidR="004D1150" w:rsidRDefault="004D1150" w:rsidP="007F2A87">
            <w:pPr>
              <w:spacing w:line="240" w:lineRule="auto"/>
            </w:pPr>
            <w:r>
              <w:t xml:space="preserve">Leadership Team </w:t>
            </w:r>
          </w:p>
          <w:p w:rsidR="00FF28A7" w:rsidRDefault="004D1150" w:rsidP="007F2A87">
            <w:pPr>
              <w:spacing w:line="240" w:lineRule="auto"/>
            </w:pPr>
            <w:r>
              <w:t xml:space="preserve">MAT Librarians </w:t>
            </w:r>
          </w:p>
          <w:p w:rsidR="004D1150" w:rsidRDefault="004D1150" w:rsidP="007F2A87">
            <w:pPr>
              <w:spacing w:line="240" w:lineRule="auto"/>
            </w:pPr>
            <w:r>
              <w:t xml:space="preserve">Warwickshire Library Service </w:t>
            </w:r>
          </w:p>
          <w:p w:rsidR="009F054A" w:rsidRDefault="009F054A" w:rsidP="007F2A87">
            <w:pPr>
              <w:spacing w:line="240" w:lineRule="auto"/>
            </w:pPr>
            <w:r>
              <w:t>External agencies</w:t>
            </w:r>
          </w:p>
        </w:tc>
      </w:tr>
      <w:tr w:rsidR="00031B93" w:rsidTr="00F6096A">
        <w:tc>
          <w:tcPr>
            <w:tcW w:w="2943" w:type="dxa"/>
          </w:tcPr>
          <w:p w:rsidR="00A7645D" w:rsidRDefault="00DA3123" w:rsidP="00A7645D">
            <w:pPr>
              <w:rPr>
                <w:b/>
              </w:rPr>
            </w:pPr>
            <w:r>
              <w:rPr>
                <w:b/>
              </w:rPr>
              <w:t>Hours of Work:</w:t>
            </w:r>
          </w:p>
        </w:tc>
        <w:tc>
          <w:tcPr>
            <w:tcW w:w="6299" w:type="dxa"/>
          </w:tcPr>
          <w:p w:rsidR="00A7645D" w:rsidRDefault="00F85AED" w:rsidP="00250FF4">
            <w:pPr>
              <w:spacing w:line="240" w:lineRule="auto"/>
            </w:pPr>
            <w:r>
              <w:t xml:space="preserve">Term time only plus </w:t>
            </w:r>
            <w:r w:rsidR="00250FF4">
              <w:t>INSET days</w:t>
            </w:r>
          </w:p>
        </w:tc>
      </w:tr>
      <w:tr w:rsidR="00031B93" w:rsidTr="00F6096A">
        <w:tc>
          <w:tcPr>
            <w:tcW w:w="2943" w:type="dxa"/>
          </w:tcPr>
          <w:p w:rsidR="00A7645D" w:rsidRDefault="00DA3123" w:rsidP="00A7645D">
            <w:pPr>
              <w:rPr>
                <w:b/>
              </w:rPr>
            </w:pPr>
            <w:r>
              <w:rPr>
                <w:b/>
              </w:rPr>
              <w:t>Grade and Range of Post:</w:t>
            </w:r>
          </w:p>
        </w:tc>
        <w:tc>
          <w:tcPr>
            <w:tcW w:w="6299" w:type="dxa"/>
          </w:tcPr>
          <w:p w:rsidR="00AC3012" w:rsidRDefault="00250FF4" w:rsidP="00F710E8">
            <w:pPr>
              <w:spacing w:line="240" w:lineRule="auto"/>
            </w:pPr>
            <w:r>
              <w:t>MAT grade F</w:t>
            </w:r>
          </w:p>
        </w:tc>
      </w:tr>
      <w:tr w:rsidR="00A7645D" w:rsidTr="00F6096A">
        <w:tc>
          <w:tcPr>
            <w:tcW w:w="2943" w:type="dxa"/>
          </w:tcPr>
          <w:p w:rsidR="00A7645D" w:rsidRDefault="00DA3123" w:rsidP="00A7645D">
            <w:pPr>
              <w:rPr>
                <w:b/>
              </w:rPr>
            </w:pPr>
            <w:r>
              <w:rPr>
                <w:b/>
              </w:rPr>
              <w:t>Current Base:</w:t>
            </w:r>
          </w:p>
        </w:tc>
        <w:tc>
          <w:tcPr>
            <w:tcW w:w="6299" w:type="dxa"/>
          </w:tcPr>
          <w:p w:rsidR="00A7645D" w:rsidRDefault="00A7645D" w:rsidP="00FF28A7">
            <w:pPr>
              <w:spacing w:line="240" w:lineRule="auto"/>
            </w:pPr>
          </w:p>
        </w:tc>
      </w:tr>
      <w:tr w:rsidR="00A7645D" w:rsidTr="00F6096A">
        <w:tc>
          <w:tcPr>
            <w:tcW w:w="2943" w:type="dxa"/>
          </w:tcPr>
          <w:p w:rsidR="00A7645D" w:rsidRDefault="00DA3123" w:rsidP="00A7645D">
            <w:pPr>
              <w:rPr>
                <w:b/>
              </w:rPr>
            </w:pPr>
            <w:r>
              <w:rPr>
                <w:b/>
              </w:rPr>
              <w:t>Disclosure Level:</w:t>
            </w:r>
          </w:p>
        </w:tc>
        <w:tc>
          <w:tcPr>
            <w:tcW w:w="6299" w:type="dxa"/>
          </w:tcPr>
          <w:p w:rsidR="00A7645D" w:rsidRDefault="00A7645D" w:rsidP="00FB6B2B">
            <w:pPr>
              <w:spacing w:line="240" w:lineRule="auto"/>
            </w:pPr>
            <w:r>
              <w:t xml:space="preserve">This post is subject to an enhanced DBS </w:t>
            </w:r>
            <w:r w:rsidR="00472EE1">
              <w:t>disclosure</w:t>
            </w:r>
            <w:r w:rsidR="00451272">
              <w:t>.</w:t>
            </w:r>
          </w:p>
        </w:tc>
      </w:tr>
      <w:tr w:rsidR="00A7645D" w:rsidTr="00F6096A">
        <w:tc>
          <w:tcPr>
            <w:tcW w:w="2943" w:type="dxa"/>
          </w:tcPr>
          <w:p w:rsidR="00A7645D" w:rsidRDefault="00DA3123" w:rsidP="00A7645D">
            <w:pPr>
              <w:rPr>
                <w:b/>
              </w:rPr>
            </w:pPr>
            <w:r>
              <w:rPr>
                <w:b/>
              </w:rPr>
              <w:t>Main / Core Duties:</w:t>
            </w:r>
          </w:p>
        </w:tc>
        <w:tc>
          <w:tcPr>
            <w:tcW w:w="6299" w:type="dxa"/>
          </w:tcPr>
          <w:p w:rsidR="003F5B31" w:rsidRDefault="003F5B31" w:rsidP="003F5B31">
            <w:pPr>
              <w:spacing w:before="120" w:line="240" w:lineRule="auto"/>
            </w:pPr>
            <w:r>
              <w:t xml:space="preserve">To actively raise the profile of reading and the importance of literacy throughout the school. </w:t>
            </w:r>
          </w:p>
          <w:p w:rsidR="003F5B31" w:rsidRDefault="003F5B31" w:rsidP="003F5B31">
            <w:pPr>
              <w:spacing w:before="120" w:line="240" w:lineRule="auto"/>
            </w:pPr>
            <w:r>
              <w:t xml:space="preserve">To lead on the implementation of any literacy programmes within the school. </w:t>
            </w:r>
          </w:p>
          <w:p w:rsidR="003F5B31" w:rsidRDefault="003F5B31" w:rsidP="003F5B31">
            <w:pPr>
              <w:spacing w:before="120" w:line="240" w:lineRule="auto"/>
            </w:pPr>
            <w:r>
              <w:t xml:space="preserve">To support students in the use of technology in reading, including e-readers. To lead on the strategic direction of the Library in a technologically rich learning environment. </w:t>
            </w:r>
          </w:p>
          <w:p w:rsidR="00356CAA" w:rsidRDefault="003F5B31" w:rsidP="003F5B31">
            <w:pPr>
              <w:spacing w:before="120" w:line="240" w:lineRule="auto"/>
            </w:pPr>
            <w:r>
              <w:t xml:space="preserve">To promote and maintain a safe and healthy environment and to ensure that all Learning Resource Centres are conducive to learning. </w:t>
            </w:r>
          </w:p>
          <w:p w:rsidR="00560504" w:rsidRDefault="00560504" w:rsidP="00560504">
            <w:pPr>
              <w:spacing w:before="120" w:line="240" w:lineRule="auto"/>
            </w:pPr>
            <w:r>
              <w:lastRenderedPageBreak/>
              <w:t>To lead the strategy for the development of an innovative Library community which is integrated into the life of the whole school and meets the needs of young people in the 21st century.</w:t>
            </w:r>
          </w:p>
        </w:tc>
      </w:tr>
      <w:tr w:rsidR="00A7645D" w:rsidTr="00F6096A">
        <w:tc>
          <w:tcPr>
            <w:tcW w:w="2943" w:type="dxa"/>
          </w:tcPr>
          <w:p w:rsidR="00A7645D" w:rsidRDefault="00DA3123" w:rsidP="00A7645D">
            <w:pPr>
              <w:rPr>
                <w:b/>
              </w:rPr>
            </w:pPr>
            <w:r>
              <w:rPr>
                <w:b/>
              </w:rPr>
              <w:lastRenderedPageBreak/>
              <w:t>Operational Planning:</w:t>
            </w:r>
          </w:p>
        </w:tc>
        <w:tc>
          <w:tcPr>
            <w:tcW w:w="6299" w:type="dxa"/>
          </w:tcPr>
          <w:p w:rsidR="003F5B31" w:rsidRDefault="003F5B31" w:rsidP="003F5B31">
            <w:pPr>
              <w:spacing w:before="120" w:line="240" w:lineRule="auto"/>
            </w:pPr>
            <w:r>
              <w:t>To proactively engage with Directors of Learning and their teams to support the teaching and learning resources in shaping the library collection in support of the School’s changing curriculum requirements, responding to the learning needs of staff and students.</w:t>
            </w:r>
          </w:p>
          <w:p w:rsidR="00356CAA" w:rsidRDefault="003F5B31" w:rsidP="00356CAA">
            <w:pPr>
              <w:spacing w:before="120" w:line="240" w:lineRule="auto"/>
            </w:pPr>
            <w:r>
              <w:t>To ensure that all users receive a timely and appropriate induction to Library and Learning Resources services and facilities.</w:t>
            </w:r>
          </w:p>
        </w:tc>
      </w:tr>
      <w:tr w:rsidR="00A7645D" w:rsidTr="00F6096A">
        <w:tc>
          <w:tcPr>
            <w:tcW w:w="2943" w:type="dxa"/>
          </w:tcPr>
          <w:p w:rsidR="00A7645D" w:rsidRDefault="00DA3123" w:rsidP="00A7645D">
            <w:pPr>
              <w:rPr>
                <w:b/>
              </w:rPr>
            </w:pPr>
            <w:r>
              <w:rPr>
                <w:b/>
              </w:rPr>
              <w:t>Service Provision:</w:t>
            </w:r>
          </w:p>
        </w:tc>
        <w:tc>
          <w:tcPr>
            <w:tcW w:w="6299" w:type="dxa"/>
          </w:tcPr>
          <w:p w:rsidR="003F5B31" w:rsidRDefault="003F5B31" w:rsidP="003F5B31">
            <w:pPr>
              <w:spacing w:before="120" w:line="240" w:lineRule="auto"/>
            </w:pPr>
            <w:r>
              <w:t>To lead on the authoring of Operating Plans and the Self Evaluation processes of the Library and Learning Resources within the wider context of the School improvement strategy, to create and maintain an outstanding service for staff and students.</w:t>
            </w:r>
          </w:p>
          <w:p w:rsidR="00770941" w:rsidRDefault="003F5B31" w:rsidP="00451272">
            <w:pPr>
              <w:spacing w:before="120" w:line="240" w:lineRule="auto"/>
            </w:pPr>
            <w:r>
              <w:t>To contribute to the range of extra-curricular activities by engaging in initiatives which add value and enhance the quality of the learning experience.</w:t>
            </w:r>
          </w:p>
          <w:p w:rsidR="003F5B31" w:rsidRDefault="003F5B31" w:rsidP="00451272">
            <w:pPr>
              <w:spacing w:before="120" w:line="240" w:lineRule="auto"/>
            </w:pPr>
            <w:r>
              <w:t>To manage student behaviour in the Library and Learning Resources Centres to ensure high standards are maintained in line with School Policies and Procedures, for the benefit of all users.</w:t>
            </w:r>
          </w:p>
          <w:p w:rsidR="00560504" w:rsidRDefault="00560504" w:rsidP="00560504">
            <w:pPr>
              <w:spacing w:before="120" w:line="240" w:lineRule="auto"/>
            </w:pPr>
            <w:r>
              <w:t xml:space="preserve">To plan and teach regular lessons to pupils on reading and research. </w:t>
            </w:r>
          </w:p>
          <w:p w:rsidR="00560504" w:rsidRDefault="00560504" w:rsidP="00560504">
            <w:pPr>
              <w:spacing w:before="120" w:line="240" w:lineRule="auto"/>
            </w:pPr>
            <w:r>
              <w:t xml:space="preserve">To arrange pupil’s participation in children’s literary events and author visits. </w:t>
            </w:r>
          </w:p>
          <w:p w:rsidR="00560504" w:rsidRDefault="00560504" w:rsidP="00560504">
            <w:pPr>
              <w:spacing w:before="120" w:line="240" w:lineRule="auto"/>
            </w:pPr>
            <w:r>
              <w:t xml:space="preserve">To provide guidance and assistance to pupils and staff on information retrieval and reading materials. </w:t>
            </w:r>
          </w:p>
          <w:p w:rsidR="00560504" w:rsidRDefault="00560504" w:rsidP="00560504">
            <w:pPr>
              <w:spacing w:before="120" w:line="240" w:lineRule="auto"/>
            </w:pPr>
          </w:p>
        </w:tc>
      </w:tr>
      <w:tr w:rsidR="00A7645D" w:rsidTr="00F6096A">
        <w:tc>
          <w:tcPr>
            <w:tcW w:w="2943" w:type="dxa"/>
          </w:tcPr>
          <w:p w:rsidR="00A7645D" w:rsidRDefault="00DA3123" w:rsidP="00A7645D">
            <w:pPr>
              <w:rPr>
                <w:b/>
              </w:rPr>
            </w:pPr>
            <w:r>
              <w:rPr>
                <w:b/>
              </w:rPr>
              <w:t>Service Development:</w:t>
            </w:r>
          </w:p>
        </w:tc>
        <w:tc>
          <w:tcPr>
            <w:tcW w:w="6299" w:type="dxa"/>
          </w:tcPr>
          <w:p w:rsidR="003F5B31" w:rsidRDefault="003F5B31" w:rsidP="003F5B31">
            <w:pPr>
              <w:spacing w:before="120" w:line="240" w:lineRule="auto"/>
            </w:pPr>
            <w:r>
              <w:t>To maintain service levels through the monitoring of standards through a process of self-evaluation, stakeholder feedback and market research.</w:t>
            </w:r>
          </w:p>
          <w:p w:rsidR="003F5B31" w:rsidRDefault="003F5B31" w:rsidP="003F5B31">
            <w:pPr>
              <w:spacing w:before="120" w:line="240" w:lineRule="auto"/>
            </w:pPr>
            <w:r>
              <w:t>To liaise with ot</w:t>
            </w:r>
            <w:r w:rsidR="00560504">
              <w:t>her MAT Librarians to ensure a high quality library and develop networks with other library professionals.</w:t>
            </w:r>
          </w:p>
          <w:p w:rsidR="00265911" w:rsidRDefault="003F5B31" w:rsidP="003F5B31">
            <w:pPr>
              <w:spacing w:before="120" w:line="240" w:lineRule="auto"/>
            </w:pPr>
            <w:r>
              <w:t>To ensure that Library and Learning Resources Centres comply with current legislation (</w:t>
            </w:r>
            <w:r w:rsidR="00560504">
              <w:t>i.e.</w:t>
            </w:r>
            <w:r>
              <w:t xml:space="preserve"> Intellectual Property Rights, Health and Safety Law and the Disability Discrimination Act)</w:t>
            </w:r>
          </w:p>
        </w:tc>
      </w:tr>
      <w:tr w:rsidR="00A7645D" w:rsidTr="00F6096A">
        <w:tc>
          <w:tcPr>
            <w:tcW w:w="2943" w:type="dxa"/>
          </w:tcPr>
          <w:p w:rsidR="00A7645D" w:rsidRDefault="00DA3123" w:rsidP="00A7645D">
            <w:pPr>
              <w:rPr>
                <w:b/>
              </w:rPr>
            </w:pPr>
            <w:r>
              <w:rPr>
                <w:b/>
              </w:rPr>
              <w:t>Staffing and Staffing Development:</w:t>
            </w:r>
          </w:p>
        </w:tc>
        <w:tc>
          <w:tcPr>
            <w:tcW w:w="6299" w:type="dxa"/>
          </w:tcPr>
          <w:p w:rsidR="00560504" w:rsidRDefault="003F5B31" w:rsidP="00560504">
            <w:pPr>
              <w:spacing w:line="240" w:lineRule="auto"/>
              <w:rPr>
                <w:bCs/>
              </w:rPr>
            </w:pPr>
            <w:r>
              <w:rPr>
                <w:bCs/>
              </w:rPr>
              <w:t>To participate in appropriate CPD</w:t>
            </w:r>
            <w:r w:rsidR="00560504">
              <w:rPr>
                <w:bCs/>
              </w:rPr>
              <w:t>, and actively engage in the Midland Academies Trust appraisal process.</w:t>
            </w:r>
            <w:r>
              <w:rPr>
                <w:bCs/>
              </w:rPr>
              <w:t xml:space="preserve"> </w:t>
            </w:r>
          </w:p>
          <w:p w:rsidR="00560504" w:rsidRDefault="00560504" w:rsidP="00560504">
            <w:pPr>
              <w:spacing w:line="240" w:lineRule="auto"/>
              <w:rPr>
                <w:bCs/>
              </w:rPr>
            </w:pPr>
          </w:p>
          <w:p w:rsidR="00A24B8C" w:rsidRPr="002C535F" w:rsidRDefault="00560504" w:rsidP="00560504">
            <w:pPr>
              <w:spacing w:line="240" w:lineRule="auto"/>
              <w:rPr>
                <w:bCs/>
              </w:rPr>
            </w:pPr>
            <w:r>
              <w:lastRenderedPageBreak/>
              <w:t>To be committed to ongoing professional development</w:t>
            </w:r>
          </w:p>
        </w:tc>
      </w:tr>
      <w:tr w:rsidR="00A7645D" w:rsidTr="00F6096A">
        <w:tc>
          <w:tcPr>
            <w:tcW w:w="2943" w:type="dxa"/>
          </w:tcPr>
          <w:p w:rsidR="00A7645D" w:rsidRDefault="00472EE1" w:rsidP="00A7645D">
            <w:pPr>
              <w:rPr>
                <w:b/>
              </w:rPr>
            </w:pPr>
            <w:r>
              <w:rPr>
                <w:b/>
              </w:rPr>
              <w:lastRenderedPageBreak/>
              <w:t>Recruitment / Deployment of Staff:</w:t>
            </w:r>
          </w:p>
        </w:tc>
        <w:tc>
          <w:tcPr>
            <w:tcW w:w="6299" w:type="dxa"/>
          </w:tcPr>
          <w:p w:rsidR="00E17160" w:rsidRDefault="003F5B31" w:rsidP="004D1150">
            <w:pPr>
              <w:spacing w:line="240" w:lineRule="auto"/>
            </w:pPr>
            <w:r>
              <w:t xml:space="preserve">N/A </w:t>
            </w:r>
          </w:p>
        </w:tc>
      </w:tr>
      <w:tr w:rsidR="00A7645D" w:rsidTr="00F6096A">
        <w:tc>
          <w:tcPr>
            <w:tcW w:w="2943" w:type="dxa"/>
          </w:tcPr>
          <w:p w:rsidR="00A7645D" w:rsidRDefault="00472EE1" w:rsidP="00A7645D">
            <w:pPr>
              <w:rPr>
                <w:b/>
              </w:rPr>
            </w:pPr>
            <w:r>
              <w:rPr>
                <w:b/>
              </w:rPr>
              <w:t>Quality Assurance:</w:t>
            </w:r>
          </w:p>
        </w:tc>
        <w:tc>
          <w:tcPr>
            <w:tcW w:w="6299" w:type="dxa"/>
          </w:tcPr>
          <w:p w:rsidR="00921C1D" w:rsidRDefault="00313EDA" w:rsidP="00921C1D">
            <w:pPr>
              <w:spacing w:before="120" w:line="240" w:lineRule="auto"/>
            </w:pPr>
            <w:r>
              <w:t>Plan and oversee a programme for monitoring and evaluating library services and performance, including user surveys and statistics on stock and usage.</w:t>
            </w:r>
          </w:p>
        </w:tc>
      </w:tr>
      <w:tr w:rsidR="00A7645D" w:rsidTr="00F6096A">
        <w:tc>
          <w:tcPr>
            <w:tcW w:w="2943" w:type="dxa"/>
          </w:tcPr>
          <w:p w:rsidR="00A7645D" w:rsidRDefault="00472EE1" w:rsidP="00A7645D">
            <w:pPr>
              <w:rPr>
                <w:b/>
              </w:rPr>
            </w:pPr>
            <w:r>
              <w:rPr>
                <w:b/>
              </w:rPr>
              <w:t>Management Information and Administration:</w:t>
            </w:r>
          </w:p>
        </w:tc>
        <w:tc>
          <w:tcPr>
            <w:tcW w:w="6299" w:type="dxa"/>
          </w:tcPr>
          <w:p w:rsidR="00313EDA" w:rsidRDefault="00313EDA" w:rsidP="00313EDA">
            <w:pPr>
              <w:spacing w:before="120" w:line="240" w:lineRule="auto"/>
            </w:pPr>
            <w:r>
              <w:t>To maintain accurate records of the library stock using appropriate industry standard software.</w:t>
            </w:r>
          </w:p>
          <w:p w:rsidR="00A24B8C" w:rsidRDefault="00313EDA" w:rsidP="00C61A46">
            <w:pPr>
              <w:spacing w:before="120" w:line="240" w:lineRule="auto"/>
            </w:pPr>
            <w:r>
              <w:t xml:space="preserve">To ensure all students and staff have library records and can access the service. </w:t>
            </w:r>
          </w:p>
          <w:p w:rsidR="00313EDA" w:rsidRDefault="00313EDA" w:rsidP="00C61A46">
            <w:pPr>
              <w:spacing w:before="120" w:line="240" w:lineRule="auto"/>
            </w:pPr>
            <w:r>
              <w:t xml:space="preserve">Support any SIMS administration as required. </w:t>
            </w:r>
          </w:p>
        </w:tc>
      </w:tr>
      <w:tr w:rsidR="00A7645D" w:rsidTr="00F6096A">
        <w:tc>
          <w:tcPr>
            <w:tcW w:w="2943" w:type="dxa"/>
          </w:tcPr>
          <w:p w:rsidR="00A7645D" w:rsidRDefault="00472EE1" w:rsidP="00A7645D">
            <w:pPr>
              <w:rPr>
                <w:b/>
              </w:rPr>
            </w:pPr>
            <w:r>
              <w:rPr>
                <w:b/>
              </w:rPr>
              <w:t>Communications:</w:t>
            </w:r>
          </w:p>
        </w:tc>
        <w:tc>
          <w:tcPr>
            <w:tcW w:w="6299" w:type="dxa"/>
          </w:tcPr>
          <w:p w:rsidR="00F836FE" w:rsidRDefault="00F836FE" w:rsidP="003F5B31">
            <w:pPr>
              <w:spacing w:before="120" w:line="240" w:lineRule="auto"/>
            </w:pPr>
            <w:r>
              <w:t>To attend all meetings identif</w:t>
            </w:r>
            <w:r w:rsidR="003F5B31">
              <w:t xml:space="preserve">ied by the Principal, Vice Principal </w:t>
            </w:r>
            <w:r w:rsidR="00A24B8C">
              <w:t xml:space="preserve">and </w:t>
            </w:r>
            <w:r w:rsidR="003F5B31">
              <w:t>Business Manager</w:t>
            </w:r>
            <w:r w:rsidR="00A24B8C">
              <w:t xml:space="preserve"> and communicate the MAT</w:t>
            </w:r>
            <w:r>
              <w:t xml:space="preserve"> vision effectively at meetings – both internal and external</w:t>
            </w:r>
          </w:p>
        </w:tc>
      </w:tr>
      <w:tr w:rsidR="00A7645D" w:rsidTr="00F6096A">
        <w:tc>
          <w:tcPr>
            <w:tcW w:w="2943" w:type="dxa"/>
          </w:tcPr>
          <w:p w:rsidR="00A7645D" w:rsidRDefault="00472EE1" w:rsidP="00A7645D">
            <w:pPr>
              <w:rPr>
                <w:b/>
              </w:rPr>
            </w:pPr>
            <w:r>
              <w:rPr>
                <w:b/>
              </w:rPr>
              <w:t xml:space="preserve">Marketing and Liaison: </w:t>
            </w:r>
          </w:p>
        </w:tc>
        <w:tc>
          <w:tcPr>
            <w:tcW w:w="6299" w:type="dxa"/>
          </w:tcPr>
          <w:p w:rsidR="00F836FE" w:rsidRDefault="00F836FE" w:rsidP="00A24273">
            <w:pPr>
              <w:spacing w:line="240" w:lineRule="auto"/>
            </w:pPr>
            <w:r>
              <w:t xml:space="preserve">To </w:t>
            </w:r>
            <w:r w:rsidR="00A24273">
              <w:t xml:space="preserve">ensure </w:t>
            </w:r>
            <w:r w:rsidR="003F5B31">
              <w:t xml:space="preserve">that the library is marketed effectively both internally for student use and externally to raise the profile of the library and reading, through regular press releases in liaison with the MAT press officer. </w:t>
            </w:r>
          </w:p>
        </w:tc>
      </w:tr>
      <w:tr w:rsidR="00A7645D" w:rsidTr="00F6096A">
        <w:tc>
          <w:tcPr>
            <w:tcW w:w="2943" w:type="dxa"/>
          </w:tcPr>
          <w:p w:rsidR="00A7645D" w:rsidRDefault="00472EE1" w:rsidP="00A7645D">
            <w:pPr>
              <w:rPr>
                <w:b/>
              </w:rPr>
            </w:pPr>
            <w:r>
              <w:rPr>
                <w:b/>
              </w:rPr>
              <w:t>Management of Resources (Other than People):</w:t>
            </w:r>
          </w:p>
        </w:tc>
        <w:tc>
          <w:tcPr>
            <w:tcW w:w="6299" w:type="dxa"/>
          </w:tcPr>
          <w:p w:rsidR="00C47C3D" w:rsidRDefault="00C47C3D" w:rsidP="00C64A50">
            <w:pPr>
              <w:spacing w:after="120" w:line="240" w:lineRule="auto"/>
            </w:pPr>
            <w:r>
              <w:t xml:space="preserve">To manage the </w:t>
            </w:r>
            <w:r w:rsidR="004D1150">
              <w:t>library</w:t>
            </w:r>
            <w:r>
              <w:t xml:space="preserve"> budget </w:t>
            </w:r>
            <w:r w:rsidR="004D1150">
              <w:t xml:space="preserve">and effective deployment of library resources. </w:t>
            </w:r>
          </w:p>
          <w:p w:rsidR="004D1150" w:rsidRDefault="004D1150" w:rsidP="00C64A50">
            <w:pPr>
              <w:spacing w:after="120" w:line="240" w:lineRule="auto"/>
            </w:pPr>
            <w:r w:rsidRPr="004D1150">
              <w:t>To monitor the Library and Learning Resources budgets, taking responsibility for Library resources and the maintenance of the School’s asset registers.</w:t>
            </w:r>
          </w:p>
          <w:p w:rsidR="004D1150" w:rsidRDefault="004D1150" w:rsidP="00C64A50">
            <w:pPr>
              <w:spacing w:after="120" w:line="240" w:lineRule="auto"/>
            </w:pPr>
            <w:r>
              <w:t xml:space="preserve">To manage the library space to enable bookings for classes or other activities as required. </w:t>
            </w:r>
          </w:p>
          <w:p w:rsidR="00A7645D" w:rsidRDefault="00A7645D" w:rsidP="00C64A50">
            <w:pPr>
              <w:spacing w:after="120" w:line="240" w:lineRule="auto"/>
            </w:pPr>
            <w:r>
              <w:t xml:space="preserve">Responsibility for the safe use and safe keeping of Trust </w:t>
            </w:r>
            <w:r w:rsidR="00C64A50">
              <w:t>resources</w:t>
            </w:r>
          </w:p>
        </w:tc>
      </w:tr>
      <w:tr w:rsidR="00A7645D" w:rsidTr="00F6096A">
        <w:tc>
          <w:tcPr>
            <w:tcW w:w="2943" w:type="dxa"/>
          </w:tcPr>
          <w:p w:rsidR="00A7645D" w:rsidRDefault="00472EE1" w:rsidP="00A7645D">
            <w:pPr>
              <w:rPr>
                <w:b/>
              </w:rPr>
            </w:pPr>
            <w:r>
              <w:rPr>
                <w:b/>
              </w:rPr>
              <w:t>Corporate Responsibility:</w:t>
            </w:r>
          </w:p>
        </w:tc>
        <w:tc>
          <w:tcPr>
            <w:tcW w:w="6299" w:type="dxa"/>
          </w:tcPr>
          <w:p w:rsidR="00A7645D" w:rsidRDefault="00A7645D" w:rsidP="00FB6B2B">
            <w:pPr>
              <w:spacing w:line="240" w:lineRule="auto"/>
            </w:pPr>
            <w:r>
              <w:t xml:space="preserve">To abide by and implement all </w:t>
            </w:r>
            <w:r w:rsidR="00C47C3D">
              <w:t>policies and procedures of MAT</w:t>
            </w:r>
            <w:r>
              <w:t>, including being aware of and responsible corporately and as an individual for Health and</w:t>
            </w:r>
            <w:r w:rsidR="00472EE1">
              <w:t xml:space="preserve"> Safety policies and procedures</w:t>
            </w:r>
            <w:r w:rsidR="00451272">
              <w:t>.</w:t>
            </w:r>
          </w:p>
        </w:tc>
      </w:tr>
      <w:tr w:rsidR="00A7645D" w:rsidTr="00F6096A">
        <w:tc>
          <w:tcPr>
            <w:tcW w:w="2943" w:type="dxa"/>
          </w:tcPr>
          <w:p w:rsidR="00A7645D" w:rsidRDefault="00472EE1" w:rsidP="00A7645D">
            <w:pPr>
              <w:rPr>
                <w:b/>
              </w:rPr>
            </w:pPr>
            <w:r>
              <w:rPr>
                <w:b/>
              </w:rPr>
              <w:t>Other Specific Responsibilities:</w:t>
            </w:r>
          </w:p>
        </w:tc>
        <w:tc>
          <w:tcPr>
            <w:tcW w:w="6299" w:type="dxa"/>
          </w:tcPr>
          <w:p w:rsidR="00D11DD7" w:rsidRPr="00D11DD7" w:rsidRDefault="00D11DD7" w:rsidP="00D11DD7">
            <w:pPr>
              <w:spacing w:line="240" w:lineRule="auto"/>
            </w:pPr>
            <w:r w:rsidRPr="00D11DD7">
              <w:t>To provide First Aid within the Academy</w:t>
            </w:r>
          </w:p>
          <w:p w:rsidR="00D11DD7" w:rsidRPr="00D11DD7" w:rsidRDefault="00D11DD7" w:rsidP="00D11DD7">
            <w:pPr>
              <w:spacing w:line="240" w:lineRule="auto"/>
            </w:pPr>
            <w:r w:rsidRPr="00D11DD7">
              <w:t>To support students with medical conditions as required.</w:t>
            </w:r>
          </w:p>
          <w:p w:rsidR="00D11DD7" w:rsidRDefault="00D11DD7" w:rsidP="00C64A50">
            <w:pPr>
              <w:spacing w:line="240" w:lineRule="auto"/>
            </w:pPr>
          </w:p>
          <w:p w:rsidR="00C64A50" w:rsidRDefault="00C64A50" w:rsidP="00C64A50">
            <w:pPr>
              <w:spacing w:line="240" w:lineRule="auto"/>
            </w:pPr>
            <w:r>
              <w:t xml:space="preserve">To contribute to the overall ethos, work and aims of the </w:t>
            </w:r>
            <w:r w:rsidR="00C61A46">
              <w:t>Academy</w:t>
            </w:r>
            <w:r>
              <w:t xml:space="preserve"> and </w:t>
            </w:r>
            <w:r w:rsidR="002C535F">
              <w:t xml:space="preserve">the Academy </w:t>
            </w:r>
            <w:r>
              <w:t>Trust</w:t>
            </w:r>
            <w:r w:rsidR="00D26325">
              <w:t>.</w:t>
            </w:r>
          </w:p>
          <w:p w:rsidR="00A7645D" w:rsidRDefault="00472EE1" w:rsidP="003B4D17">
            <w:pPr>
              <w:spacing w:before="120" w:after="120" w:line="240" w:lineRule="auto"/>
            </w:pPr>
            <w:r>
              <w:lastRenderedPageBreak/>
              <w:t>To carry out all</w:t>
            </w:r>
            <w:r w:rsidR="00A7645D">
              <w:t xml:space="preserve"> duties in the most effective</w:t>
            </w:r>
            <w:r>
              <w:t>, efficient and economic manner</w:t>
            </w:r>
            <w:r w:rsidR="00D26325">
              <w:t>.</w:t>
            </w:r>
          </w:p>
          <w:p w:rsidR="00A7645D" w:rsidRDefault="00A7645D" w:rsidP="00FB6B2B">
            <w:pPr>
              <w:spacing w:after="120" w:line="240" w:lineRule="auto"/>
            </w:pPr>
            <w:r>
              <w:t>To continue personal d</w:t>
            </w:r>
            <w:r w:rsidR="00472EE1">
              <w:t>evelopment in the relevant area</w:t>
            </w:r>
            <w:r w:rsidR="00D26325">
              <w:t>.</w:t>
            </w:r>
          </w:p>
          <w:p w:rsidR="00FC5337" w:rsidRPr="00FC5337" w:rsidRDefault="00FC5337" w:rsidP="00FC5337">
            <w:pPr>
              <w:spacing w:after="120" w:line="240" w:lineRule="auto"/>
            </w:pPr>
            <w:r w:rsidRPr="00FC5337">
              <w:t>Participate fully with arrangements made in accordance with the Academy Trust’s Performance Management Policy</w:t>
            </w:r>
            <w:r w:rsidR="00D26325">
              <w:t>.</w:t>
            </w:r>
          </w:p>
          <w:p w:rsidR="00FC5337" w:rsidRDefault="00FC5337" w:rsidP="004D1150">
            <w:pPr>
              <w:spacing w:line="240" w:lineRule="auto"/>
            </w:pPr>
            <w:r>
              <w:t>Perform any other reason</w:t>
            </w:r>
            <w:r w:rsidR="00C47C3D">
              <w:t xml:space="preserve">able duties as requested by the Principal and </w:t>
            </w:r>
            <w:r w:rsidR="004D1150">
              <w:t xml:space="preserve">Business Manager </w:t>
            </w:r>
          </w:p>
        </w:tc>
      </w:tr>
      <w:tr w:rsidR="00A62D8B" w:rsidTr="00A62D8B">
        <w:tc>
          <w:tcPr>
            <w:tcW w:w="29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rPr>
                <w:b/>
              </w:rPr>
            </w:pPr>
            <w:r>
              <w:rPr>
                <w:b/>
              </w:rPr>
              <w:lastRenderedPageBreak/>
              <w:t>Safeguarding:</w:t>
            </w:r>
          </w:p>
        </w:tc>
        <w:tc>
          <w:tcPr>
            <w:tcW w:w="62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A62D8B" w:rsidRDefault="00A62D8B">
            <w:pPr>
              <w:spacing w:line="240" w:lineRule="auto"/>
            </w:pPr>
            <w:r>
              <w:t>The Trust is committed to safeguarding and promoting the welfare of children and young people and expects all staff and volunteers to share this commitment and individually take responsibility for doing so.</w:t>
            </w:r>
          </w:p>
        </w:tc>
      </w:tr>
      <w:tr w:rsidR="00A7645D" w:rsidTr="00F6096A">
        <w:tc>
          <w:tcPr>
            <w:tcW w:w="2943" w:type="dxa"/>
          </w:tcPr>
          <w:p w:rsidR="00A7645D" w:rsidRDefault="00472EE1" w:rsidP="00A7645D">
            <w:pPr>
              <w:rPr>
                <w:b/>
              </w:rPr>
            </w:pPr>
            <w:r>
              <w:rPr>
                <w:b/>
              </w:rPr>
              <w:t>General Statement:</w:t>
            </w:r>
          </w:p>
        </w:tc>
        <w:tc>
          <w:tcPr>
            <w:tcW w:w="6299" w:type="dxa"/>
          </w:tcPr>
          <w:p w:rsidR="00A7645D" w:rsidRDefault="00A7645D" w:rsidP="00D26325">
            <w:pPr>
              <w:spacing w:line="240" w:lineRule="auto"/>
            </w:pPr>
            <w:r>
              <w:t>This job description is current at the date shown</w:t>
            </w:r>
            <w:r w:rsidR="009C4115">
              <w:t>,</w:t>
            </w:r>
            <w:r>
              <w:t xml:space="preserve"> but in consultation with you may be changed to reflect or anticipate changes in the job, commensura</w:t>
            </w:r>
            <w:r w:rsidR="00472EE1">
              <w:t>te with the grade and job title</w:t>
            </w:r>
            <w:r w:rsidR="00D26325">
              <w:t>.</w:t>
            </w:r>
          </w:p>
        </w:tc>
      </w:tr>
      <w:tr w:rsidR="00A7645D" w:rsidTr="00F6096A">
        <w:tc>
          <w:tcPr>
            <w:tcW w:w="2943" w:type="dxa"/>
          </w:tcPr>
          <w:p w:rsidR="00A7645D" w:rsidRDefault="00A7645D" w:rsidP="00A7645D">
            <w:pPr>
              <w:rPr>
                <w:b/>
              </w:rPr>
            </w:pPr>
            <w:r>
              <w:rPr>
                <w:b/>
              </w:rPr>
              <w:t>Date</w:t>
            </w:r>
            <w:r w:rsidR="00472EE1">
              <w:rPr>
                <w:b/>
              </w:rPr>
              <w:t>:</w:t>
            </w:r>
          </w:p>
        </w:tc>
        <w:tc>
          <w:tcPr>
            <w:tcW w:w="6299" w:type="dxa"/>
          </w:tcPr>
          <w:p w:rsidR="00A7645D" w:rsidRDefault="00250FF4" w:rsidP="00FB6B2B">
            <w:pPr>
              <w:spacing w:line="240" w:lineRule="auto"/>
            </w:pPr>
            <w:r>
              <w:t>July 2019</w:t>
            </w:r>
            <w:bookmarkStart w:id="0" w:name="_GoBack"/>
            <w:bookmarkEnd w:id="0"/>
          </w:p>
        </w:tc>
      </w:tr>
    </w:tbl>
    <w:p w:rsidR="00066B85" w:rsidRDefault="00066B85" w:rsidP="007E6036">
      <w:pPr>
        <w:spacing w:after="240" w:line="240" w:lineRule="auto"/>
        <w:jc w:val="both"/>
        <w:rPr>
          <w:rFonts w:eastAsia="Times New Roman" w:cstheme="minorHAnsi"/>
          <w:color w:val="000000"/>
          <w:lang w:val="en-US" w:eastAsia="en-GB"/>
        </w:rPr>
      </w:pPr>
    </w:p>
    <w:p w:rsidR="00C71D84" w:rsidRPr="004D1150" w:rsidRDefault="00C71D84" w:rsidP="004D1150">
      <w:pPr>
        <w:rPr>
          <w:rFonts w:ascii="Arial" w:hAnsi="Arial" w:cs="Arial"/>
          <w:snapToGrid w:val="0"/>
          <w:sz w:val="24"/>
          <w:szCs w:val="24"/>
        </w:rPr>
      </w:pPr>
    </w:p>
    <w:p w:rsidR="00C71D84" w:rsidRPr="007E6036" w:rsidRDefault="00C71D84" w:rsidP="007E6036">
      <w:pPr>
        <w:spacing w:after="240" w:line="240" w:lineRule="auto"/>
        <w:jc w:val="both"/>
        <w:rPr>
          <w:rFonts w:eastAsia="Times New Roman" w:cstheme="minorHAnsi"/>
          <w:color w:val="000000"/>
          <w:lang w:val="en-US" w:eastAsia="en-GB"/>
        </w:rPr>
      </w:pPr>
    </w:p>
    <w:sectPr w:rsidR="00C71D84" w:rsidRPr="007E6036" w:rsidSect="00031B93">
      <w:headerReference w:type="default" r:id="rId9"/>
      <w:footerReference w:type="default" r:id="rId10"/>
      <w:footerReference w:type="first" r:id="rId11"/>
      <w:pgSz w:w="11906" w:h="16838" w:code="9"/>
      <w:pgMar w:top="1440" w:right="1440" w:bottom="1440" w:left="1440" w:header="204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AE" w:rsidRDefault="004C46AE" w:rsidP="00AC0731">
      <w:pPr>
        <w:spacing w:after="0"/>
      </w:pPr>
      <w:r>
        <w:separator/>
      </w:r>
    </w:p>
  </w:endnote>
  <w:endnote w:type="continuationSeparator" w:id="0">
    <w:p w:rsidR="004C46AE" w:rsidRDefault="004C46AE"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5103F6" w:rsidRDefault="009116C9" w:rsidP="009116C9">
            <w:pPr>
              <w:pStyle w:val="Footer"/>
              <w:jc w:val="center"/>
              <w:rPr>
                <w:bCs/>
                <w:sz w:val="24"/>
                <w:szCs w:val="24"/>
              </w:rPr>
            </w:pPr>
            <w:r>
              <w:rPr>
                <w:noProof/>
                <w:lang w:eastAsia="en-GB"/>
              </w:rPr>
              <w:drawing>
                <wp:anchor distT="0" distB="0" distL="114300" distR="114300" simplePos="0" relativeHeight="251660288" behindDoc="0" locked="0" layoutInCell="1" allowOverlap="1" wp14:anchorId="51A8CC06" wp14:editId="53A7EBAE">
                  <wp:simplePos x="0" y="0"/>
                  <wp:positionH relativeFrom="margin">
                    <wp:align>right</wp:align>
                  </wp:positionH>
                  <wp:positionV relativeFrom="paragraph">
                    <wp:posOffset>5715</wp:posOffset>
                  </wp:positionV>
                  <wp:extent cx="5731510" cy="9010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01065"/>
                          </a:xfrm>
                          <a:prstGeom prst="rect">
                            <a:avLst/>
                          </a:prstGeom>
                        </pic:spPr>
                      </pic:pic>
                    </a:graphicData>
                  </a:graphic>
                  <wp14:sizeRelH relativeFrom="page">
                    <wp14:pctWidth>0</wp14:pctWidth>
                  </wp14:sizeRelH>
                  <wp14:sizeRelV relativeFrom="page">
                    <wp14:pctHeight>0</wp14:pctHeight>
                  </wp14:sizeRelV>
                </wp:anchor>
              </w:drawing>
            </w:r>
            <w:r w:rsidR="007474AA" w:rsidRPr="005103F6">
              <w:t xml:space="preserve">Page </w:t>
            </w:r>
            <w:r w:rsidR="007474AA" w:rsidRPr="005103F6">
              <w:rPr>
                <w:bCs/>
                <w:sz w:val="24"/>
                <w:szCs w:val="24"/>
              </w:rPr>
              <w:fldChar w:fldCharType="begin"/>
            </w:r>
            <w:r w:rsidR="007474AA" w:rsidRPr="005103F6">
              <w:rPr>
                <w:bCs/>
              </w:rPr>
              <w:instrText xml:space="preserve"> PAGE </w:instrText>
            </w:r>
            <w:r w:rsidR="007474AA" w:rsidRPr="005103F6">
              <w:rPr>
                <w:bCs/>
                <w:sz w:val="24"/>
                <w:szCs w:val="24"/>
              </w:rPr>
              <w:fldChar w:fldCharType="separate"/>
            </w:r>
            <w:r w:rsidR="00250FF4">
              <w:rPr>
                <w:bCs/>
                <w:noProof/>
              </w:rPr>
              <w:t>1</w:t>
            </w:r>
            <w:r w:rsidR="007474AA" w:rsidRPr="005103F6">
              <w:rPr>
                <w:bCs/>
                <w:sz w:val="24"/>
                <w:szCs w:val="24"/>
              </w:rPr>
              <w:fldChar w:fldCharType="end"/>
            </w:r>
            <w:r w:rsidR="007474AA" w:rsidRPr="005103F6">
              <w:t xml:space="preserve"> of </w:t>
            </w:r>
            <w:r w:rsidR="007474AA" w:rsidRPr="005103F6">
              <w:rPr>
                <w:bCs/>
                <w:sz w:val="24"/>
                <w:szCs w:val="24"/>
              </w:rPr>
              <w:fldChar w:fldCharType="begin"/>
            </w:r>
            <w:r w:rsidR="007474AA" w:rsidRPr="005103F6">
              <w:rPr>
                <w:bCs/>
              </w:rPr>
              <w:instrText xml:space="preserve"> NUMPAGES  </w:instrText>
            </w:r>
            <w:r w:rsidR="007474AA" w:rsidRPr="005103F6">
              <w:rPr>
                <w:bCs/>
                <w:sz w:val="24"/>
                <w:szCs w:val="24"/>
              </w:rPr>
              <w:fldChar w:fldCharType="separate"/>
            </w:r>
            <w:r w:rsidR="00250FF4">
              <w:rPr>
                <w:bCs/>
                <w:noProof/>
              </w:rPr>
              <w:t>4</w:t>
            </w:r>
            <w:r w:rsidR="007474AA" w:rsidRPr="005103F6">
              <w:rPr>
                <w:bCs/>
                <w:sz w:val="24"/>
                <w:szCs w:val="24"/>
              </w:rPr>
              <w:fldChar w:fldCharType="end"/>
            </w:r>
          </w:p>
          <w:p w:rsidR="007474AA" w:rsidRDefault="00250FF4">
            <w:pPr>
              <w:pStyle w:val="Footer"/>
              <w:jc w:val="center"/>
            </w:pP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AE" w:rsidRDefault="004C46AE" w:rsidP="00AC0731">
      <w:pPr>
        <w:spacing w:after="0"/>
      </w:pPr>
      <w:r>
        <w:separator/>
      </w:r>
    </w:p>
  </w:footnote>
  <w:footnote w:type="continuationSeparator" w:id="0">
    <w:p w:rsidR="004C46AE" w:rsidRDefault="004C46AE"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9116C9"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-772160</wp:posOffset>
          </wp:positionV>
          <wp:extent cx="1827089" cy="387376"/>
          <wp:effectExtent l="0" t="0" r="1905" b="0"/>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7089" cy="3873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FD8"/>
    <w:multiLevelType w:val="hybridMultilevel"/>
    <w:tmpl w:val="C3C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20285"/>
    <w:multiLevelType w:val="hybridMultilevel"/>
    <w:tmpl w:val="AE9A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3"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37F16"/>
    <w:multiLevelType w:val="hybridMultilevel"/>
    <w:tmpl w:val="668C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43401"/>
    <w:multiLevelType w:val="hybridMultilevel"/>
    <w:tmpl w:val="9FCE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0CE3098"/>
    <w:multiLevelType w:val="hybridMultilevel"/>
    <w:tmpl w:val="D068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A69D0"/>
    <w:multiLevelType w:val="hybridMultilevel"/>
    <w:tmpl w:val="318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43DF2"/>
    <w:multiLevelType w:val="hybridMultilevel"/>
    <w:tmpl w:val="EDF2E384"/>
    <w:lvl w:ilvl="0" w:tplc="E45A05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93A60"/>
    <w:multiLevelType w:val="hybridMultilevel"/>
    <w:tmpl w:val="795E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11125"/>
    <w:multiLevelType w:val="hybridMultilevel"/>
    <w:tmpl w:val="D23039FC"/>
    <w:lvl w:ilvl="0" w:tplc="7EBA3E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A333D7"/>
    <w:multiLevelType w:val="hybridMultilevel"/>
    <w:tmpl w:val="FE86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AC2B4B"/>
    <w:multiLevelType w:val="hybridMultilevel"/>
    <w:tmpl w:val="456C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606BAA"/>
    <w:multiLevelType w:val="hybridMultilevel"/>
    <w:tmpl w:val="4F9A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405E0"/>
    <w:multiLevelType w:val="hybridMultilevel"/>
    <w:tmpl w:val="38D6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19"/>
  </w:num>
  <w:num w:numId="3">
    <w:abstractNumId w:val="12"/>
  </w:num>
  <w:num w:numId="4">
    <w:abstractNumId w:val="13"/>
  </w:num>
  <w:num w:numId="5">
    <w:abstractNumId w:val="10"/>
  </w:num>
  <w:num w:numId="6">
    <w:abstractNumId w:val="22"/>
  </w:num>
  <w:num w:numId="7">
    <w:abstractNumId w:val="29"/>
  </w:num>
  <w:num w:numId="8">
    <w:abstractNumId w:val="31"/>
  </w:num>
  <w:num w:numId="9">
    <w:abstractNumId w:val="40"/>
  </w:num>
  <w:num w:numId="10">
    <w:abstractNumId w:val="15"/>
  </w:num>
  <w:num w:numId="11">
    <w:abstractNumId w:val="38"/>
  </w:num>
  <w:num w:numId="12">
    <w:abstractNumId w:val="5"/>
  </w:num>
  <w:num w:numId="13">
    <w:abstractNumId w:val="27"/>
  </w:num>
  <w:num w:numId="14">
    <w:abstractNumId w:val="6"/>
  </w:num>
  <w:num w:numId="15">
    <w:abstractNumId w:val="4"/>
  </w:num>
  <w:num w:numId="16">
    <w:abstractNumId w:val="9"/>
  </w:num>
  <w:num w:numId="17">
    <w:abstractNumId w:val="7"/>
  </w:num>
  <w:num w:numId="18">
    <w:abstractNumId w:val="1"/>
  </w:num>
  <w:num w:numId="19">
    <w:abstractNumId w:val="3"/>
  </w:num>
  <w:num w:numId="20">
    <w:abstractNumId w:val="36"/>
  </w:num>
  <w:num w:numId="21">
    <w:abstractNumId w:val="17"/>
  </w:num>
  <w:num w:numId="22">
    <w:abstractNumId w:val="39"/>
  </w:num>
  <w:num w:numId="23">
    <w:abstractNumId w:val="16"/>
  </w:num>
  <w:num w:numId="24">
    <w:abstractNumId w:val="26"/>
  </w:num>
  <w:num w:numId="25">
    <w:abstractNumId w:val="8"/>
  </w:num>
  <w:num w:numId="26">
    <w:abstractNumId w:val="18"/>
  </w:num>
  <w:num w:numId="27">
    <w:abstractNumId w:val="14"/>
  </w:num>
  <w:num w:numId="28">
    <w:abstractNumId w:val="30"/>
  </w:num>
  <w:num w:numId="29">
    <w:abstractNumId w:val="34"/>
  </w:num>
  <w:num w:numId="30">
    <w:abstractNumId w:val="37"/>
  </w:num>
  <w:num w:numId="31">
    <w:abstractNumId w:val="21"/>
  </w:num>
  <w:num w:numId="32">
    <w:abstractNumId w:val="28"/>
  </w:num>
  <w:num w:numId="33">
    <w:abstractNumId w:val="11"/>
  </w:num>
  <w:num w:numId="34">
    <w:abstractNumId w:val="0"/>
  </w:num>
  <w:num w:numId="35">
    <w:abstractNumId w:val="20"/>
  </w:num>
  <w:num w:numId="36">
    <w:abstractNumId w:val="24"/>
  </w:num>
  <w:num w:numId="37">
    <w:abstractNumId w:val="35"/>
  </w:num>
  <w:num w:numId="38">
    <w:abstractNumId w:val="25"/>
  </w:num>
  <w:num w:numId="39">
    <w:abstractNumId w:val="42"/>
  </w:num>
  <w:num w:numId="40">
    <w:abstractNumId w:val="32"/>
  </w:num>
  <w:num w:numId="41">
    <w:abstractNumId w:val="33"/>
  </w:num>
  <w:num w:numId="42">
    <w:abstractNumId w:val="41"/>
  </w:num>
  <w:num w:numId="4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22ACE"/>
    <w:rsid w:val="00031B93"/>
    <w:rsid w:val="00066B85"/>
    <w:rsid w:val="00071DC4"/>
    <w:rsid w:val="000D41A3"/>
    <w:rsid w:val="000F57BA"/>
    <w:rsid w:val="0010354B"/>
    <w:rsid w:val="00113086"/>
    <w:rsid w:val="0012548B"/>
    <w:rsid w:val="0013082C"/>
    <w:rsid w:val="00136FC6"/>
    <w:rsid w:val="001558D8"/>
    <w:rsid w:val="001621E7"/>
    <w:rsid w:val="00166DD7"/>
    <w:rsid w:val="00183B7C"/>
    <w:rsid w:val="001B2DC7"/>
    <w:rsid w:val="001C2B68"/>
    <w:rsid w:val="001D553D"/>
    <w:rsid w:val="001D6102"/>
    <w:rsid w:val="001E2608"/>
    <w:rsid w:val="001E7655"/>
    <w:rsid w:val="001F0D9E"/>
    <w:rsid w:val="00204930"/>
    <w:rsid w:val="00224E3C"/>
    <w:rsid w:val="002503F0"/>
    <w:rsid w:val="00250FF4"/>
    <w:rsid w:val="00265911"/>
    <w:rsid w:val="00272440"/>
    <w:rsid w:val="002830C8"/>
    <w:rsid w:val="00283BA2"/>
    <w:rsid w:val="00286E61"/>
    <w:rsid w:val="002927C4"/>
    <w:rsid w:val="00294759"/>
    <w:rsid w:val="00296335"/>
    <w:rsid w:val="002A2EB3"/>
    <w:rsid w:val="002A6B32"/>
    <w:rsid w:val="002B066A"/>
    <w:rsid w:val="002C535F"/>
    <w:rsid w:val="002D094D"/>
    <w:rsid w:val="002D1EB3"/>
    <w:rsid w:val="002E28E0"/>
    <w:rsid w:val="002E796E"/>
    <w:rsid w:val="00305362"/>
    <w:rsid w:val="00312E4F"/>
    <w:rsid w:val="00313EDA"/>
    <w:rsid w:val="00321219"/>
    <w:rsid w:val="0032528A"/>
    <w:rsid w:val="00334486"/>
    <w:rsid w:val="0034553B"/>
    <w:rsid w:val="00356CAA"/>
    <w:rsid w:val="00357135"/>
    <w:rsid w:val="003813B7"/>
    <w:rsid w:val="00384CFC"/>
    <w:rsid w:val="00396C89"/>
    <w:rsid w:val="003B4D17"/>
    <w:rsid w:val="003B6531"/>
    <w:rsid w:val="003D2774"/>
    <w:rsid w:val="003F5B31"/>
    <w:rsid w:val="00415788"/>
    <w:rsid w:val="0042399F"/>
    <w:rsid w:val="004452E3"/>
    <w:rsid w:val="00451272"/>
    <w:rsid w:val="00472EE1"/>
    <w:rsid w:val="004A068D"/>
    <w:rsid w:val="004C0C02"/>
    <w:rsid w:val="004C46AE"/>
    <w:rsid w:val="004D1150"/>
    <w:rsid w:val="004D6AFF"/>
    <w:rsid w:val="004E2615"/>
    <w:rsid w:val="005103F6"/>
    <w:rsid w:val="005476C6"/>
    <w:rsid w:val="00552916"/>
    <w:rsid w:val="00560504"/>
    <w:rsid w:val="005F015C"/>
    <w:rsid w:val="00604DED"/>
    <w:rsid w:val="00604F86"/>
    <w:rsid w:val="00675630"/>
    <w:rsid w:val="0067777F"/>
    <w:rsid w:val="00684B7C"/>
    <w:rsid w:val="006970BC"/>
    <w:rsid w:val="006B6250"/>
    <w:rsid w:val="006F5823"/>
    <w:rsid w:val="007457ED"/>
    <w:rsid w:val="007474AA"/>
    <w:rsid w:val="00756733"/>
    <w:rsid w:val="00770941"/>
    <w:rsid w:val="0077266D"/>
    <w:rsid w:val="00786E5E"/>
    <w:rsid w:val="007A2BE3"/>
    <w:rsid w:val="007B6F6B"/>
    <w:rsid w:val="007E18E6"/>
    <w:rsid w:val="007E6036"/>
    <w:rsid w:val="007F056A"/>
    <w:rsid w:val="007F2A87"/>
    <w:rsid w:val="0080181C"/>
    <w:rsid w:val="0080498B"/>
    <w:rsid w:val="00822718"/>
    <w:rsid w:val="00836DF2"/>
    <w:rsid w:val="008377AB"/>
    <w:rsid w:val="00853C34"/>
    <w:rsid w:val="00855D2B"/>
    <w:rsid w:val="00872E00"/>
    <w:rsid w:val="008935C4"/>
    <w:rsid w:val="008A4AD8"/>
    <w:rsid w:val="008B57C7"/>
    <w:rsid w:val="008D0D61"/>
    <w:rsid w:val="00901A67"/>
    <w:rsid w:val="009116C9"/>
    <w:rsid w:val="00921C1D"/>
    <w:rsid w:val="00967837"/>
    <w:rsid w:val="00996674"/>
    <w:rsid w:val="009B1795"/>
    <w:rsid w:val="009C4115"/>
    <w:rsid w:val="009F054A"/>
    <w:rsid w:val="009F42A7"/>
    <w:rsid w:val="009F6C87"/>
    <w:rsid w:val="00A11A0B"/>
    <w:rsid w:val="00A24273"/>
    <w:rsid w:val="00A24B8C"/>
    <w:rsid w:val="00A27DE3"/>
    <w:rsid w:val="00A321ED"/>
    <w:rsid w:val="00A62D8B"/>
    <w:rsid w:val="00A7645D"/>
    <w:rsid w:val="00AA0140"/>
    <w:rsid w:val="00AC0731"/>
    <w:rsid w:val="00AC3012"/>
    <w:rsid w:val="00AD7116"/>
    <w:rsid w:val="00AE052A"/>
    <w:rsid w:val="00B34158"/>
    <w:rsid w:val="00B369FD"/>
    <w:rsid w:val="00B5040A"/>
    <w:rsid w:val="00B757A1"/>
    <w:rsid w:val="00B85C00"/>
    <w:rsid w:val="00BA4CDB"/>
    <w:rsid w:val="00BB22AD"/>
    <w:rsid w:val="00BE1389"/>
    <w:rsid w:val="00BE465E"/>
    <w:rsid w:val="00C02A37"/>
    <w:rsid w:val="00C23378"/>
    <w:rsid w:val="00C354E5"/>
    <w:rsid w:val="00C36E40"/>
    <w:rsid w:val="00C47C3D"/>
    <w:rsid w:val="00C61A46"/>
    <w:rsid w:val="00C64A50"/>
    <w:rsid w:val="00C71D84"/>
    <w:rsid w:val="00C82452"/>
    <w:rsid w:val="00C82829"/>
    <w:rsid w:val="00CA393C"/>
    <w:rsid w:val="00CA5BF6"/>
    <w:rsid w:val="00CB17B0"/>
    <w:rsid w:val="00CB2687"/>
    <w:rsid w:val="00CC5A36"/>
    <w:rsid w:val="00D01B28"/>
    <w:rsid w:val="00D11DD7"/>
    <w:rsid w:val="00D13D22"/>
    <w:rsid w:val="00D15AFD"/>
    <w:rsid w:val="00D23CF6"/>
    <w:rsid w:val="00D26325"/>
    <w:rsid w:val="00D4065F"/>
    <w:rsid w:val="00D5460F"/>
    <w:rsid w:val="00D568F1"/>
    <w:rsid w:val="00D933A5"/>
    <w:rsid w:val="00D95BC3"/>
    <w:rsid w:val="00D973B3"/>
    <w:rsid w:val="00DA3123"/>
    <w:rsid w:val="00DD6AC2"/>
    <w:rsid w:val="00E149B0"/>
    <w:rsid w:val="00E149E0"/>
    <w:rsid w:val="00E169D1"/>
    <w:rsid w:val="00E17160"/>
    <w:rsid w:val="00E351EA"/>
    <w:rsid w:val="00E664E1"/>
    <w:rsid w:val="00E77591"/>
    <w:rsid w:val="00E900D3"/>
    <w:rsid w:val="00EC699A"/>
    <w:rsid w:val="00EE3F43"/>
    <w:rsid w:val="00F16D43"/>
    <w:rsid w:val="00F372DF"/>
    <w:rsid w:val="00F44291"/>
    <w:rsid w:val="00F5337B"/>
    <w:rsid w:val="00F6096A"/>
    <w:rsid w:val="00F62F47"/>
    <w:rsid w:val="00F70F71"/>
    <w:rsid w:val="00F710E8"/>
    <w:rsid w:val="00F836FE"/>
    <w:rsid w:val="00F83FAB"/>
    <w:rsid w:val="00F85AED"/>
    <w:rsid w:val="00F87CB1"/>
    <w:rsid w:val="00FB2522"/>
    <w:rsid w:val="00FB3E0A"/>
    <w:rsid w:val="00FB6B2B"/>
    <w:rsid w:val="00FC5337"/>
    <w:rsid w:val="00FD3B00"/>
    <w:rsid w:val="00FE4F5D"/>
    <w:rsid w:val="00FF28A7"/>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9C5CD5"/>
  <w15:docId w15:val="{B4A9A6B7-9E09-4D22-81FF-1F49B593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1150"/>
    <w:pPr>
      <w:autoSpaceDE w:val="0"/>
      <w:autoSpaceDN w:val="0"/>
      <w:adjustRightInd w:val="0"/>
      <w:spacing w:after="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2210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B4EDE2-E6FE-4801-8114-0483AF39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2017-03-31T13:04:00Z</cp:lastPrinted>
  <dcterms:created xsi:type="dcterms:W3CDTF">2019-07-02T10:49:00Z</dcterms:created>
  <dcterms:modified xsi:type="dcterms:W3CDTF">2019-07-02T10:49:00Z</dcterms:modified>
</cp:coreProperties>
</file>