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Cover Supervisor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8">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Grade</w:t>
            </w:r>
          </w:p>
        </w:tc>
        <w:tc>
          <w:tcPr>
            <w:tcBorders>
              <w:left w:color="000000" w:space="0" w:sz="12" w:val="single"/>
              <w:right w:color="000000" w:space="0" w:sz="12" w:val="single"/>
            </w:tcBorders>
          </w:tcPr>
          <w:p w:rsidR="00000000" w:rsidDel="00000000" w:rsidP="00000000" w:rsidRDefault="00000000" w:rsidRPr="00000000" w14:paraId="0000000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Assistant Head Teacher</w:t>
            </w:r>
          </w:p>
          <w:p w:rsidR="00000000" w:rsidDel="00000000" w:rsidP="00000000" w:rsidRDefault="00000000" w:rsidRPr="00000000" w14:paraId="0000000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F, scale point 12-17</w:t>
            </w:r>
          </w:p>
          <w:p w:rsidR="00000000" w:rsidDel="00000000" w:rsidP="00000000" w:rsidRDefault="00000000" w:rsidRPr="00000000" w14:paraId="0000000F">
            <w:pPr>
              <w:spacing w:before="30" w:line="276" w:lineRule="auto"/>
              <w:rPr>
                <w:rFonts w:ascii="Arial" w:cs="Arial" w:eastAsia="Arial" w:hAnsi="Arial"/>
                <w:sz w:val="22"/>
                <w:szCs w:val="22"/>
              </w:rPr>
            </w:pPr>
            <w:r w:rsidDel="00000000" w:rsidR="00000000" w:rsidRPr="00000000">
              <w:rPr>
                <w:rtl w:val="0"/>
              </w:rPr>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10">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1">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p w:rsidR="00000000" w:rsidDel="00000000" w:rsidP="00000000" w:rsidRDefault="00000000" w:rsidRPr="00000000" w14:paraId="00000012">
            <w:pPr>
              <w:spacing w:before="30" w:lineRule="auto"/>
              <w:rPr>
                <w:rFonts w:ascii="Arial" w:cs="Arial" w:eastAsia="Arial" w:hAnsi="Arial"/>
                <w:b w:val="1"/>
                <w:color w:val="333399"/>
                <w:sz w:val="22"/>
                <w:szCs w:val="22"/>
              </w:rPr>
            </w:pPr>
            <w:r w:rsidDel="00000000" w:rsidR="00000000" w:rsidRPr="00000000">
              <w:rPr>
                <w:rtl w:val="0"/>
              </w:rPr>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fixed-term contract initially until 31/08/2023, 36 hours per week, 39 weeks per year (term time plus INSET days)</w:t>
            </w:r>
          </w:p>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5">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spacing w:before="30" w:line="276" w:lineRule="auto"/>
              <w:rPr>
                <w:rFonts w:ascii="Arial" w:cs="Arial" w:eastAsia="Arial" w:hAnsi="Arial"/>
                <w:color w:val="202124"/>
                <w:sz w:val="22"/>
                <w:szCs w:val="22"/>
                <w:highlight w:val="white"/>
              </w:rPr>
            </w:pPr>
            <w:r w:rsidDel="00000000" w:rsidR="00000000" w:rsidRPr="00000000">
              <w:rPr>
                <w:rFonts w:ascii="Arial" w:cs="Arial" w:eastAsia="Arial" w:hAnsi="Arial"/>
                <w:b w:val="1"/>
                <w:color w:val="333399"/>
                <w:sz w:val="22"/>
                <w:szCs w:val="22"/>
                <w:rtl w:val="0"/>
              </w:rPr>
              <w:t xml:space="preserve">Key Purpose of Job</w:t>
            </w:r>
            <w:r w:rsidDel="00000000" w:rsidR="00000000" w:rsidRPr="00000000">
              <w:rPr>
                <w:rtl w:val="0"/>
              </w:rPr>
            </w:r>
          </w:p>
          <w:p w:rsidR="00000000" w:rsidDel="00000000" w:rsidP="00000000" w:rsidRDefault="00000000" w:rsidRPr="00000000" w14:paraId="00000017">
            <w:pPr>
              <w:spacing w:before="3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supervise whole classes of pupils, in the absence of a teacher, and ensure that work set is completed. Cover is provided for the short-term absence of teaching staff so that an effective and tailored provision is delivered.</w:t>
            </w:r>
          </w:p>
          <w:p w:rsidR="00000000" w:rsidDel="00000000" w:rsidP="00000000" w:rsidRDefault="00000000" w:rsidRPr="00000000" w14:paraId="00000018">
            <w:pPr>
              <w:spacing w:before="30"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9">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A">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B">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MAIN DUTIES AND RESPONSIBILITIES </w:t>
            </w:r>
          </w:p>
          <w:p w:rsidR="00000000" w:rsidDel="00000000" w:rsidP="00000000" w:rsidRDefault="00000000" w:rsidRPr="00000000" w14:paraId="0000001C">
            <w:pPr>
              <w:numPr>
                <w:ilvl w:val="0"/>
                <w:numId w:val="1"/>
              </w:numPr>
              <w:spacing w:after="160" w:line="276" w:lineRule="auto"/>
              <w:ind w:left="720" w:hanging="72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support the Catholic Ethos of the school.</w:t>
            </w:r>
            <w:r w:rsidDel="00000000" w:rsidR="00000000" w:rsidRPr="00000000">
              <w:rPr>
                <w:rtl w:val="0"/>
              </w:rPr>
            </w:r>
          </w:p>
          <w:p w:rsidR="00000000" w:rsidDel="00000000" w:rsidP="00000000" w:rsidRDefault="00000000" w:rsidRPr="00000000" w14:paraId="0000001D">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To act as cover supervisor as effectively and efficiently as possible to ensure continuity of learning for the pupils and to minimise the cover that teachers are required to do.</w:t>
            </w:r>
          </w:p>
          <w:p w:rsidR="00000000" w:rsidDel="00000000" w:rsidP="00000000" w:rsidRDefault="00000000" w:rsidRPr="00000000" w14:paraId="0000001E">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To act as an invigilator during public examinations when required by the examinations officer.</w:t>
            </w:r>
          </w:p>
          <w:p w:rsidR="00000000" w:rsidDel="00000000" w:rsidP="00000000" w:rsidRDefault="00000000" w:rsidRPr="00000000" w14:paraId="0000001F">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To share in the cover for absent non-teaching colleagues if not required to cover for teachers.</w:t>
            </w:r>
          </w:p>
          <w:p w:rsidR="00000000" w:rsidDel="00000000" w:rsidP="00000000" w:rsidRDefault="00000000" w:rsidRPr="00000000" w14:paraId="00000020">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 </w:t>
              <w:tab/>
              <w:t xml:space="preserve">To build up a bank of suitable material which could be used with classes where the teacher is unable to provide it.</w:t>
            </w:r>
          </w:p>
          <w:p w:rsidR="00000000" w:rsidDel="00000000" w:rsidP="00000000" w:rsidRDefault="00000000" w:rsidRPr="00000000" w14:paraId="00000021">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To undertake additional duties that may arise out of changes in the department routine curriculum or as part of the wider College team.</w:t>
            </w:r>
          </w:p>
          <w:p w:rsidR="00000000" w:rsidDel="00000000" w:rsidP="00000000" w:rsidRDefault="00000000" w:rsidRPr="00000000" w14:paraId="00000022">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To be flexible and willing to work with staff to improve teaching and learning.</w:t>
            </w:r>
          </w:p>
          <w:p w:rsidR="00000000" w:rsidDel="00000000" w:rsidP="00000000" w:rsidRDefault="00000000" w:rsidRPr="00000000" w14:paraId="00000023">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To attend relevant courses, particularly in relation to Safeguarding, Health and Safety and deal with any immediate emergencies in accordance with the College policies and procedures to ensure that student / employee safety is assured.</w:t>
            </w:r>
          </w:p>
          <w:p w:rsidR="00000000" w:rsidDel="00000000" w:rsidP="00000000" w:rsidRDefault="00000000" w:rsidRPr="00000000" w14:paraId="00000024">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Manage the behaviour of the students whilst they are undertaking their work, to ensure a constructive environment.</w:t>
            </w:r>
          </w:p>
          <w:p w:rsidR="00000000" w:rsidDel="00000000" w:rsidP="00000000" w:rsidRDefault="00000000" w:rsidRPr="00000000" w14:paraId="00000025">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To be called upon to perform other duties that the Head Teacher considers reasonable that are commensurate with the grading and description of this post.</w:t>
            </w:r>
          </w:p>
          <w:p w:rsidR="00000000" w:rsidDel="00000000" w:rsidP="00000000" w:rsidRDefault="00000000" w:rsidRPr="00000000" w14:paraId="00000026">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7">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8">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9">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2B">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C">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2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2E">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F">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30">
            <w:pPr>
              <w:pStyle w:val="Heading1"/>
              <w:numPr>
                <w:ilvl w:val="0"/>
                <w:numId w:val="2"/>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31">
            <w:pPr>
              <w:pStyle w:val="Heading1"/>
              <w:numPr>
                <w:ilvl w:val="0"/>
                <w:numId w:val="2"/>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33">
            <w:pPr>
              <w:pStyle w:val="Heading1"/>
              <w:numPr>
                <w:ilvl w:val="0"/>
                <w:numId w:val="2"/>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34">
            <w:pPr>
              <w:pStyle w:val="Heading1"/>
              <w:numPr>
                <w:ilvl w:val="0"/>
                <w:numId w:val="2"/>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5">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6">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7">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8">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9">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3A">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3B">
      <w:pPr>
        <w:pStyle w:val="Title"/>
        <w:spacing w:before="30" w:line="276" w:lineRule="auto"/>
        <w:rPr>
          <w:color w:val="333399"/>
          <w:sz w:val="22"/>
          <w:szCs w:val="22"/>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3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3E">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3F">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40">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41">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4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43">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4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undertake further training and responsibility</w:t>
            </w:r>
          </w:p>
          <w:p w:rsidR="00000000" w:rsidDel="00000000" w:rsidP="00000000" w:rsidRDefault="00000000" w:rsidRPr="00000000" w14:paraId="00000049">
            <w:pPr>
              <w:ind w:left="0" w:firstLine="0"/>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5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5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5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educational environment</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3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the individual student’s requirements</w:t>
            </w:r>
          </w:p>
          <w:p w:rsidR="00000000" w:rsidDel="00000000" w:rsidP="00000000" w:rsidRDefault="00000000" w:rsidRPr="00000000" w14:paraId="0000005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SJP procedures which impact on supervision and Behaviour Management of students</w:t>
            </w:r>
          </w:p>
          <w:p w:rsidR="00000000" w:rsidDel="00000000" w:rsidP="00000000" w:rsidRDefault="00000000" w:rsidRPr="00000000" w14:paraId="0000005F">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6">
            <w:pPr>
              <w:spacing w:before="30" w:line="276" w:lineRule="auto"/>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D">
            <w:pPr>
              <w:spacing w:before="30" w:line="276" w:lineRule="auto"/>
              <w:jc w:val="left"/>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6F">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Enthusiasm, commitment and flexibility</w:t>
            </w:r>
          </w:p>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Classroom supervision and student behaviour management skills and techniques</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Microsoft Office package</w:t>
            </w:r>
          </w:p>
          <w:p w:rsidR="00000000" w:rsidDel="00000000" w:rsidP="00000000" w:rsidRDefault="00000000" w:rsidRPr="00000000" w14:paraId="0000007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Able to develop relationships with young people</w:t>
            </w:r>
          </w:p>
          <w:p w:rsidR="00000000" w:rsidDel="00000000" w:rsidP="00000000" w:rsidRDefault="00000000" w:rsidRPr="00000000" w14:paraId="0000007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High personal standards, in terms of punctuality and attendance as well as meeting deadlines</w:t>
            </w:r>
          </w:p>
          <w:p w:rsidR="00000000" w:rsidDel="00000000" w:rsidP="00000000" w:rsidRDefault="00000000" w:rsidRPr="00000000" w14:paraId="0000007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Communication skills</w:t>
            </w:r>
          </w:p>
          <w:p w:rsidR="00000000" w:rsidDel="00000000" w:rsidP="00000000" w:rsidRDefault="00000000" w:rsidRPr="00000000" w14:paraId="0000007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a team player</w:t>
            </w:r>
          </w:p>
          <w:p w:rsidR="00000000" w:rsidDel="00000000" w:rsidP="00000000" w:rsidRDefault="00000000" w:rsidRPr="00000000" w14:paraId="0000007D">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0">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276" w:lineRule="auto"/>
              <w:jc w:val="center"/>
              <w:rPr>
                <w:rFonts w:ascii="Arial" w:cs="Arial" w:eastAsia="Arial" w:hAnsi="Arial"/>
                <w:sz w:val="22"/>
                <w:szCs w:val="22"/>
              </w:rPr>
            </w:pPr>
            <w:bookmarkStart w:colFirst="0" w:colLast="0" w:name="_heading=h.y7890k2dokwi" w:id="0"/>
            <w:bookmarkEnd w:id="0"/>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7">
            <w:pPr>
              <w:spacing w:before="30" w:line="276" w:lineRule="auto"/>
              <w:jc w:val="center"/>
              <w:rPr>
                <w:rFonts w:ascii="Arial" w:cs="Arial" w:eastAsia="Arial" w:hAnsi="Arial"/>
                <w:sz w:val="22"/>
                <w:szCs w:val="22"/>
              </w:rPr>
            </w:pPr>
            <w:bookmarkStart w:colFirst="0" w:colLast="0" w:name="_heading=h.8bh29pick4y5" w:id="1"/>
            <w:bookmarkEnd w:id="1"/>
            <w:r w:rsidDel="00000000" w:rsidR="00000000" w:rsidRPr="00000000">
              <w:rPr>
                <w:rtl w:val="0"/>
              </w:rPr>
            </w:r>
          </w:p>
          <w:p w:rsidR="00000000" w:rsidDel="00000000" w:rsidP="00000000" w:rsidRDefault="00000000" w:rsidRPr="00000000" w14:paraId="00000088">
            <w:pPr>
              <w:spacing w:before="30" w:line="276" w:lineRule="auto"/>
              <w:jc w:val="center"/>
              <w:rPr>
                <w:rFonts w:ascii="Arial" w:cs="Arial" w:eastAsia="Arial" w:hAnsi="Arial"/>
                <w:sz w:val="22"/>
                <w:szCs w:val="22"/>
              </w:rPr>
            </w:pPr>
            <w:bookmarkStart w:colFirst="0" w:colLast="0" w:name="_heading=h.g2wbuydvi6a8" w:id="2"/>
            <w:bookmarkEnd w:id="2"/>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9">
            <w:pPr>
              <w:spacing w:before="30" w:line="276" w:lineRule="auto"/>
              <w:jc w:val="center"/>
              <w:rPr>
                <w:rFonts w:ascii="Arial" w:cs="Arial" w:eastAsia="Arial" w:hAnsi="Arial"/>
                <w:sz w:val="22"/>
                <w:szCs w:val="22"/>
              </w:rPr>
            </w:pPr>
            <w:bookmarkStart w:colFirst="0" w:colLast="0" w:name="_heading=h.b581ess9apby" w:id="3"/>
            <w:bookmarkEnd w:id="3"/>
            <w:r w:rsidDel="00000000" w:rsidR="00000000" w:rsidRPr="00000000">
              <w:rPr>
                <w:rtl w:val="0"/>
              </w:rPr>
            </w:r>
          </w:p>
          <w:p w:rsidR="00000000" w:rsidDel="00000000" w:rsidP="00000000" w:rsidRDefault="00000000" w:rsidRPr="00000000" w14:paraId="0000008A">
            <w:pPr>
              <w:spacing w:before="30" w:line="276" w:lineRule="auto"/>
              <w:jc w:val="center"/>
              <w:rPr>
                <w:rFonts w:ascii="Arial" w:cs="Arial" w:eastAsia="Arial" w:hAnsi="Arial"/>
                <w:sz w:val="22"/>
                <w:szCs w:val="22"/>
              </w:rPr>
            </w:pPr>
            <w:bookmarkStart w:colFirst="0" w:colLast="0" w:name="_heading=h.fv1u0p98rhnz" w:id="4"/>
            <w:bookmarkEnd w:id="4"/>
            <w:r w:rsidDel="00000000" w:rsidR="00000000" w:rsidRPr="00000000">
              <w:rPr>
                <w:rtl w:val="0"/>
              </w:rPr>
            </w:r>
          </w:p>
          <w:p w:rsidR="00000000" w:rsidDel="00000000" w:rsidP="00000000" w:rsidRDefault="00000000" w:rsidRPr="00000000" w14:paraId="0000008B">
            <w:pPr>
              <w:spacing w:before="30" w:line="276" w:lineRule="auto"/>
              <w:jc w:val="center"/>
              <w:rPr>
                <w:rFonts w:ascii="Arial" w:cs="Arial" w:eastAsia="Arial" w:hAnsi="Arial"/>
                <w:sz w:val="22"/>
                <w:szCs w:val="22"/>
              </w:rPr>
            </w:pPr>
            <w:bookmarkStart w:colFirst="0" w:colLast="0" w:name="_heading=h.ihkavav8ftcg" w:id="5"/>
            <w:bookmarkEnd w:id="5"/>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C">
            <w:pPr>
              <w:spacing w:before="30" w:line="276" w:lineRule="auto"/>
              <w:jc w:val="center"/>
              <w:rPr>
                <w:rFonts w:ascii="Arial" w:cs="Arial" w:eastAsia="Arial" w:hAnsi="Arial"/>
                <w:sz w:val="22"/>
                <w:szCs w:val="22"/>
              </w:rPr>
            </w:pPr>
            <w:bookmarkStart w:colFirst="0" w:colLast="0" w:name="_heading=h.ekgr76cejbob" w:id="6"/>
            <w:bookmarkEnd w:id="6"/>
            <w:r w:rsidDel="00000000" w:rsidR="00000000" w:rsidRPr="00000000">
              <w:rPr>
                <w:rtl w:val="0"/>
              </w:rPr>
            </w:r>
          </w:p>
          <w:p w:rsidR="00000000" w:rsidDel="00000000" w:rsidP="00000000" w:rsidRDefault="00000000" w:rsidRPr="00000000" w14:paraId="0000008D">
            <w:pPr>
              <w:spacing w:before="30" w:line="276" w:lineRule="auto"/>
              <w:jc w:val="center"/>
              <w:rPr>
                <w:rFonts w:ascii="Arial" w:cs="Arial" w:eastAsia="Arial" w:hAnsi="Arial"/>
                <w:sz w:val="22"/>
                <w:szCs w:val="22"/>
              </w:rPr>
            </w:pPr>
            <w:bookmarkStart w:colFirst="0" w:colLast="0" w:name="_heading=h.txdxgdgd0v0f" w:id="7"/>
            <w:bookmarkEnd w:id="7"/>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8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0">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A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A4">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A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A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A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EKlLFRSPkcRCKuXEPaH4RYtgVA==">AMUW2mXcL1dAGn18AJmeFHpMvMmVMdt5/wHWBQQ2TEaQ+wTgi+QhKsrNyTAzMlBRHB0X1ilP9I2v7s3pPNkI7+WwDlMD3htcq8xebyUaRJZFN7au+dqItb/IpaHOKfp/7IZbQebUlN13fIWucZL4nmAqHUifFIxJgB0Qzkqk3PbustI9YxyKxVqJwsguqcNMZy+yS389NAR6Kc/vcG+p1nn0zH4gLBYZqGhp8PA4KheM1tYuZ26w6AuhU9qgqkYgCYqt2YGyQZ0ifGN69sBQN8MnWT+BueZ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