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firstLine="0"/>
        <w:rPr>
          <w:b w:val="1"/>
        </w:rPr>
      </w:pPr>
      <w:r w:rsidDel="00000000" w:rsidR="00000000" w:rsidRPr="00000000">
        <w:rPr>
          <w:rtl w:val="0"/>
        </w:rPr>
      </w:r>
    </w:p>
    <w:p w:rsidR="00000000" w:rsidDel="00000000" w:rsidP="00000000" w:rsidRDefault="00000000" w:rsidRPr="00000000" w14:paraId="00000002">
      <w:pPr>
        <w:ind w:left="-566.9291338582677" w:firstLine="0"/>
        <w:rPr>
          <w:b w:val="1"/>
        </w:rPr>
      </w:pPr>
      <w:r w:rsidDel="00000000" w:rsidR="00000000" w:rsidRPr="00000000">
        <w:rPr>
          <w:rtl w:val="0"/>
        </w:rPr>
      </w:r>
    </w:p>
    <w:p w:rsidR="00000000" w:rsidDel="00000000" w:rsidP="00000000" w:rsidRDefault="00000000" w:rsidRPr="00000000" w14:paraId="00000003">
      <w:pPr>
        <w:ind w:left="-566.9291338582677" w:firstLine="0"/>
        <w:rPr>
          <w:b w:val="1"/>
        </w:rPr>
      </w:pPr>
      <w:r w:rsidDel="00000000" w:rsidR="00000000" w:rsidRPr="00000000">
        <w:rPr>
          <w:rtl w:val="0"/>
        </w:rPr>
      </w:r>
    </w:p>
    <w:p w:rsidR="00000000" w:rsidDel="00000000" w:rsidP="00000000" w:rsidRDefault="00000000" w:rsidRPr="00000000" w14:paraId="00000004">
      <w:pPr>
        <w:ind w:left="-566.9291338582677" w:firstLine="0"/>
        <w:rPr>
          <w:b w:val="1"/>
        </w:rPr>
      </w:pPr>
      <w:r w:rsidDel="00000000" w:rsidR="00000000" w:rsidRPr="00000000">
        <w:rPr>
          <w:rtl w:val="0"/>
        </w:rPr>
      </w:r>
    </w:p>
    <w:p w:rsidR="00000000" w:rsidDel="00000000" w:rsidP="00000000" w:rsidRDefault="00000000" w:rsidRPr="00000000" w14:paraId="00000005">
      <w:pPr>
        <w:ind w:left="-566.9291338582677"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Cathedral Schools Trust </w:t>
      </w:r>
    </w:p>
    <w:p w:rsidR="00000000" w:rsidDel="00000000" w:rsidP="00000000" w:rsidRDefault="00000000" w:rsidRPr="00000000" w14:paraId="00000006">
      <w:pPr>
        <w:ind w:left="-566.9291338582677"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Cover Supervisor</w:t>
      </w:r>
    </w:p>
    <w:p w:rsidR="00000000" w:rsidDel="00000000" w:rsidP="00000000" w:rsidRDefault="00000000" w:rsidRPr="00000000" w14:paraId="00000007">
      <w:pPr>
        <w:ind w:left="-566.9291338582677"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 Specification</w:t>
      </w:r>
    </w:p>
    <w:p w:rsidR="00000000" w:rsidDel="00000000" w:rsidP="00000000" w:rsidRDefault="00000000" w:rsidRPr="00000000" w14:paraId="00000008">
      <w:pPr>
        <w:ind w:left="-566.9291338582677"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566.9291338582677" w:firstLine="0"/>
        <w:rPr>
          <w:rFonts w:ascii="Calibri" w:cs="Calibri" w:eastAsia="Calibri" w:hAnsi="Calibri"/>
        </w:rPr>
      </w:pPr>
      <w:r w:rsidDel="00000000" w:rsidR="00000000" w:rsidRPr="00000000">
        <w:rPr>
          <w:rFonts w:ascii="Calibri" w:cs="Calibri" w:eastAsia="Calibri" w:hAnsi="Calibri"/>
          <w:rtl w:val="0"/>
        </w:rPr>
        <w:t xml:space="preserve">Short listing will be based on the criteria listed below in the Person Specification. Applicants should therefore show in their application how their skills and experience match those criteria. </w:t>
      </w:r>
    </w:p>
    <w:p w:rsidR="00000000" w:rsidDel="00000000" w:rsidP="00000000" w:rsidRDefault="00000000" w:rsidRPr="00000000" w14:paraId="0000000A">
      <w:pPr>
        <w:ind w:left="-566.9291338582677"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B">
      <w:pPr>
        <w:ind w:left="-566.9291338582677" w:firstLine="0"/>
        <w:rPr>
          <w:rFonts w:ascii="Calibri" w:cs="Calibri" w:eastAsia="Calibri" w:hAnsi="Calibri"/>
        </w:rPr>
      </w:pPr>
      <w:r w:rsidDel="00000000" w:rsidR="00000000" w:rsidRPr="00000000">
        <w:rPr>
          <w:rFonts w:ascii="Calibri" w:cs="Calibri" w:eastAsia="Calibri" w:hAnsi="Calibri"/>
          <w:rtl w:val="0"/>
        </w:rPr>
        <w:t xml:space="preserve">Method of assessment: A (application form); I (interview); C (certificates);E (Essential); D (Desirable)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tbl>
      <w:tblPr>
        <w:tblStyle w:val="Table1"/>
        <w:tblW w:w="10515.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7035"/>
        <w:gridCol w:w="1230"/>
        <w:gridCol w:w="1440"/>
        <w:tblGridChange w:id="0">
          <w:tblGrid>
            <w:gridCol w:w="810"/>
            <w:gridCol w:w="7035"/>
            <w:gridCol w:w="1230"/>
            <w:gridCol w:w="144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Skills and Abilities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 Desirable</w:t>
            </w:r>
          </w:p>
          <w:p w:rsidR="00000000" w:rsidDel="00000000" w:rsidP="00000000" w:rsidRDefault="00000000" w:rsidRPr="00000000" w14:paraId="0000001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 /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Method of Assessment</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 I / C)</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commitment to making a positive contribution to the education of young people </w:t>
            </w:r>
          </w:p>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Resilience and patience to deal with occasional difficult situations and behaviours</w:t>
            </w:r>
          </w:p>
          <w:p w:rsidR="00000000" w:rsidDel="00000000" w:rsidP="00000000" w:rsidRDefault="00000000" w:rsidRPr="00000000" w14:paraId="0000001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follow the school's safeguarding guidelines </w:t>
            </w:r>
          </w:p>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Flexibility and self awareness to realise when alternative strategies and approaches are required for different students </w:t>
            </w:r>
          </w:p>
          <w:p w:rsidR="00000000" w:rsidDel="00000000" w:rsidP="00000000" w:rsidRDefault="00000000" w:rsidRPr="00000000" w14:paraId="000000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Good personal organisation skills </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confidence and firmness to establish a positive working atmosphere in classes </w:t>
            </w:r>
          </w:p>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Ability to work on own initiative and not require constant supervision </w:t>
            </w:r>
          </w:p>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Ability to work as part of a team </w:t>
            </w:r>
          </w:p>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Able to communicate effectively with staff and students at all levels and establish positive working relationships with young people </w:t>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Able to maintain absolute confidentiality regarding students’ personal details. </w:t>
            </w:r>
          </w:p>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Ability to take day-to-day decisions within agreed parameters. </w:t>
            </w:r>
          </w:p>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ability to support games teaching and contribute to the co-curricular sporting programme would be highly desirable. Netball, hockey, rounders advantageous but not essential.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2C">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2E">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30">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32">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34">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35">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37">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39">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3B">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3D">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40">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42">
            <w:pPr>
              <w:widowControl w:val="0"/>
              <w:spacing w:line="240" w:lineRule="auto"/>
              <w:ind w:right="604.6062992125991"/>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0"/>
              <w:spacing w:line="240" w:lineRule="auto"/>
              <w:ind w:right="604.6062992125991"/>
              <w:rPr>
                <w:rFonts w:ascii="Calibri" w:cs="Calibri" w:eastAsia="Calibri" w:hAnsi="Calibri"/>
              </w:rPr>
            </w:pPr>
            <w:r w:rsidDel="00000000" w:rsidR="00000000" w:rsidRPr="00000000">
              <w:rPr>
                <w:rFonts w:ascii="Calibri" w:cs="Calibri" w:eastAsia="Calibri" w:hAnsi="Calibri"/>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45">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47">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49">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4B">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4E">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50">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51">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52">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54">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56">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58">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59">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5A">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5B">
            <w:pPr>
              <w:widowControl w:val="0"/>
              <w:spacing w:line="240" w:lineRule="auto"/>
              <w:ind w:right="-114.44881889763735"/>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40" w:lineRule="auto"/>
              <w:ind w:right="-114.44881889763735"/>
              <w:rPr>
                <w:rFonts w:ascii="Calibri" w:cs="Calibri" w:eastAsia="Calibri" w:hAnsi="Calibri"/>
              </w:rPr>
            </w:pPr>
            <w:r w:rsidDel="00000000" w:rsidR="00000000" w:rsidRPr="00000000">
              <w:rPr>
                <w:rFonts w:ascii="Calibri" w:cs="Calibri" w:eastAsia="Calibri" w:hAnsi="Calibri"/>
                <w:rtl w:val="0"/>
              </w:rPr>
              <w:t xml:space="preserve">A / I</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Knowledge/Qualifications: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 Desirable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 /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Method of Assessment</w:t>
            </w:r>
          </w:p>
          <w:p w:rsidR="00000000" w:rsidDel="00000000" w:rsidP="00000000" w:rsidRDefault="00000000" w:rsidRPr="00000000" w14:paraId="0000006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 I / C)</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 education standard equating to GCSE grade C in English and Mathematics </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Background knowledge of the National Curriculum Knowledge of pupils’ individual targets. Where appropriate, more specialised knowledge in specific curriculum areas may be required. </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Knowledge of legislation and regulations applicable to the support and care of pupils. </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be numerate and literate</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 qualification relevant to supporting the learning process in schools</w:t>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Knowledge of school systems and procedures </w:t>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of Secondary education sector and the issues facing schools over the coming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 I / C</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 I / C</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 I</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 Desirable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 /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Method of Assessment</w:t>
            </w:r>
          </w:p>
          <w:p w:rsidR="00000000" w:rsidDel="00000000" w:rsidP="00000000" w:rsidRDefault="00000000" w:rsidRPr="00000000" w14:paraId="0000009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 I / C)</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Experience of working with children in an educational setting.</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Experience in a similar role or a role requiring similar skills, abilities and knowledge.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 I</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 I</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Other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 Desirable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 /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Method of Assessment</w:t>
            </w:r>
          </w:p>
          <w:p w:rsidR="00000000" w:rsidDel="00000000" w:rsidP="00000000" w:rsidRDefault="00000000" w:rsidRPr="00000000" w14:paraId="000000A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 I / C)</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willingness to attend courses as required, in order to enhance your knowledge, understanding and skills and to improve the level and quality of support given to pupils and teachers. </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Commitment to excellence and desire for continual improvement </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Good sense of humour and a willingness to work cooperatively as part of a team. </w:t>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knowledge and interest in the education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15" w:sz="0" w:val="none"/>
          <w:right w:color="auto" w:space="0" w:sz="0" w:val="none"/>
        </w:pBdr>
        <w:shd w:fill="ffffff" w:val="clear"/>
        <w:spacing w:line="331.2" w:lineRule="auto"/>
        <w:ind w:left="-708.6614173228347" w:firstLine="0"/>
        <w:rPr>
          <w:i w:val="1"/>
          <w:sz w:val="20"/>
          <w:szCs w:val="20"/>
        </w:rPr>
      </w:pPr>
      <w:r w:rsidDel="00000000" w:rsidR="00000000" w:rsidRPr="00000000">
        <w:rPr>
          <w:i w:val="1"/>
          <w:sz w:val="20"/>
          <w:szCs w:val="20"/>
          <w:rtl w:val="0"/>
        </w:rPr>
        <w:t xml:space="preserve">Cathedral Schools Trust recognises the strength in diversity. Our schools have a wide range of cultural, socio economic and religious influences and we use this to ensure that we broaden our understanding of each other and the world.  We welcome applications of all backgrounds but particularly welcome those from BAME backgrounds as we recognise that our staff team does not currently reflect the diversity of our student body.</w:t>
      </w:r>
    </w:p>
    <w:p w:rsidR="00000000" w:rsidDel="00000000" w:rsidP="00000000" w:rsidRDefault="00000000" w:rsidRPr="00000000" w14:paraId="000000C2">
      <w:pPr>
        <w:pBdr>
          <w:top w:color="auto" w:space="0" w:sz="0" w:val="none"/>
          <w:left w:color="auto" w:space="0" w:sz="0" w:val="none"/>
          <w:bottom w:color="auto" w:space="15" w:sz="0" w:val="none"/>
          <w:right w:color="auto" w:space="0" w:sz="0" w:val="none"/>
        </w:pBdr>
        <w:shd w:fill="ffffff" w:val="clear"/>
        <w:spacing w:line="331.2" w:lineRule="auto"/>
        <w:ind w:left="-708.6614173228347" w:firstLine="0"/>
        <w:rPr>
          <w:i w:val="1"/>
          <w:sz w:val="8"/>
          <w:szCs w:val="8"/>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15" w:sz="0" w:val="none"/>
          <w:right w:color="auto" w:space="0" w:sz="0" w:val="none"/>
        </w:pBdr>
        <w:shd w:fill="ffffff" w:val="clear"/>
        <w:spacing w:line="331.2" w:lineRule="auto"/>
        <w:ind w:left="-708.6614173228347" w:firstLine="0"/>
        <w:rPr>
          <w:i w:val="1"/>
          <w:sz w:val="20"/>
          <w:szCs w:val="20"/>
        </w:rPr>
      </w:pPr>
      <w:r w:rsidDel="00000000" w:rsidR="00000000" w:rsidRPr="00000000">
        <w:rPr>
          <w:i w:val="1"/>
          <w:sz w:val="20"/>
          <w:szCs w:val="20"/>
          <w:rtl w:val="0"/>
        </w:rPr>
        <w:t xml:space="preserve">As part of our commitment to equal opportunities, we ask that all applications are made using our application form and are accompanied by an equal opportunities form. The equal opportunities form is anonymous and is not shared with the shortlisting panel. </w:t>
      </w:r>
    </w:p>
    <w:p w:rsidR="00000000" w:rsidDel="00000000" w:rsidP="00000000" w:rsidRDefault="00000000" w:rsidRPr="00000000" w14:paraId="000000C4">
      <w:pPr>
        <w:rPr/>
      </w:pPr>
      <w:r w:rsidDel="00000000" w:rsidR="00000000" w:rsidRPr="00000000">
        <w:rPr>
          <w:rtl w:val="0"/>
        </w:rPr>
      </w:r>
    </w:p>
    <w:sectPr>
      <w:headerReference r:id="rId6" w:type="default"/>
      <w:headerReference r:id="rId7" w:type="first"/>
      <w:footerReference r:id="rId8" w:type="first"/>
      <w:pgSz w:h="16834" w:w="11909"/>
      <w:pgMar w:bottom="381.3779527559075" w:top="1440" w:left="1440" w:right="690.4724409448835"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1524000</wp:posOffset>
          </wp:positionH>
          <wp:positionV relativeFrom="paragraph">
            <wp:posOffset>-66674</wp:posOffset>
          </wp:positionV>
          <wp:extent cx="2685600" cy="1036800"/>
          <wp:effectExtent b="0" l="0" r="0" t="0"/>
          <wp:wrapSquare wrapText="bothSides" distB="0" distT="0" distL="114300" distR="114300"/>
          <wp:docPr descr="CST Logo Colour (3)" id="1" name="image1.jpg"/>
          <a:graphic>
            <a:graphicData uri="http://schemas.openxmlformats.org/drawingml/2006/picture">
              <pic:pic>
                <pic:nvPicPr>
                  <pic:cNvPr descr="CST Logo Colour (3)" id="0" name="image1.jpg"/>
                  <pic:cNvPicPr preferRelativeResize="0"/>
                </pic:nvPicPr>
                <pic:blipFill>
                  <a:blip r:embed="rId1"/>
                  <a:srcRect b="0" l="0" r="0" t="0"/>
                  <a:stretch>
                    <a:fillRect/>
                  </a:stretch>
                </pic:blipFill>
                <pic:spPr>
                  <a:xfrm>
                    <a:off x="0" y="0"/>
                    <a:ext cx="2685600" cy="103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