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10" w:rsidRPr="00081F2F" w:rsidRDefault="00B94510">
      <w:pPr>
        <w:pStyle w:val="NormalWeb"/>
        <w:shd w:val="clear" w:color="auto" w:fill="FFFFFF"/>
        <w:spacing w:beforeAutospacing="0" w:after="0" w:afterAutospacing="0"/>
        <w:rPr>
          <w:rFonts w:asciiTheme="minorHAnsi" w:hAnsiTheme="minorHAnsi" w:cstheme="minorHAnsi"/>
          <w:b/>
          <w:bCs/>
          <w:color w:val="000000"/>
          <w:sz w:val="40"/>
          <w:szCs w:val="40"/>
          <w:shd w:val="clear" w:color="auto" w:fill="FFFFFF"/>
        </w:rPr>
      </w:pPr>
      <w:bookmarkStart w:id="0" w:name="_GoBack"/>
      <w:bookmarkEnd w:id="0"/>
    </w:p>
    <w:p w:rsidR="00B94510" w:rsidRPr="00081F2F" w:rsidRDefault="00081F2F" w:rsidP="00081F2F">
      <w:pPr>
        <w:pStyle w:val="NormalWeb"/>
        <w:shd w:val="clear" w:color="auto" w:fill="FFFFFF"/>
        <w:spacing w:beforeAutospacing="0" w:after="0" w:afterAutospacing="0"/>
        <w:jc w:val="center"/>
        <w:rPr>
          <w:rFonts w:asciiTheme="minorHAnsi" w:hAnsiTheme="minorHAnsi" w:cstheme="minorHAnsi"/>
          <w:b/>
          <w:bCs/>
          <w:color w:val="000000"/>
          <w:sz w:val="40"/>
          <w:szCs w:val="40"/>
          <w:shd w:val="clear" w:color="auto" w:fill="FFFFFF"/>
        </w:rPr>
      </w:pPr>
      <w:r w:rsidRPr="00081F2F">
        <w:rPr>
          <w:rFonts w:asciiTheme="minorHAnsi" w:hAnsiTheme="minorHAnsi" w:cstheme="minorHAnsi"/>
          <w:b/>
          <w:bCs/>
          <w:color w:val="000000"/>
          <w:sz w:val="40"/>
          <w:szCs w:val="40"/>
          <w:shd w:val="clear" w:color="auto" w:fill="FFFFFF"/>
        </w:rPr>
        <w:t>Music Tech. Tutor</w:t>
      </w:r>
    </w:p>
    <w:p w:rsidR="00081F2F" w:rsidRDefault="00081F2F">
      <w:pPr>
        <w:pStyle w:val="Title"/>
        <w:jc w:val="left"/>
        <w:rPr>
          <w:rFonts w:asciiTheme="minorHAnsi" w:hAnsiTheme="minorHAnsi" w:cstheme="minorHAnsi"/>
          <w:b w:val="0"/>
          <w:sz w:val="22"/>
          <w:szCs w:val="22"/>
        </w:rPr>
      </w:pPr>
    </w:p>
    <w:p w:rsidR="00B94510" w:rsidRDefault="00EC6DCD">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This Job Description details duties of the role of the ‘Music Tech. Tutor’ for position at the </w:t>
      </w:r>
      <w:proofErr w:type="spellStart"/>
      <w:r>
        <w:rPr>
          <w:rFonts w:asciiTheme="minorHAnsi" w:hAnsiTheme="minorHAnsi" w:cstheme="minorHAnsi"/>
          <w:b w:val="0"/>
          <w:sz w:val="22"/>
          <w:szCs w:val="22"/>
        </w:rPr>
        <w:t>ArtxChange</w:t>
      </w:r>
      <w:proofErr w:type="spellEnd"/>
      <w:r>
        <w:rPr>
          <w:rFonts w:asciiTheme="minorHAnsi" w:hAnsiTheme="minorHAnsi" w:cstheme="minorHAnsi"/>
          <w:b w:val="0"/>
          <w:sz w:val="22"/>
          <w:szCs w:val="22"/>
        </w:rPr>
        <w:t xml:space="preserve"> College.</w:t>
      </w:r>
    </w:p>
    <w:p w:rsidR="00B94510" w:rsidRDefault="00B94510">
      <w:pPr>
        <w:pStyle w:val="Title"/>
        <w:jc w:val="left"/>
        <w:rPr>
          <w:rFonts w:asciiTheme="minorHAnsi" w:hAnsiTheme="minorHAnsi" w:cstheme="minorHAnsi"/>
          <w:b w:val="0"/>
          <w:sz w:val="22"/>
          <w:szCs w:val="22"/>
        </w:rPr>
      </w:pPr>
    </w:p>
    <w:p w:rsidR="00B94510" w:rsidRDefault="00EC6DCD">
      <w:pPr>
        <w:pStyle w:val="Title"/>
        <w:jc w:val="left"/>
        <w:rPr>
          <w:rFonts w:asciiTheme="minorHAnsi" w:hAnsiTheme="minorHAnsi" w:cstheme="minorHAnsi"/>
          <w:b w:val="0"/>
          <w:bCs/>
          <w:color w:val="000000"/>
          <w:sz w:val="20"/>
          <w:shd w:val="clear" w:color="auto" w:fill="FFFFFF"/>
        </w:rPr>
      </w:pPr>
      <w:r>
        <w:rPr>
          <w:rFonts w:asciiTheme="minorHAnsi" w:hAnsiTheme="minorHAnsi" w:cstheme="minorHAnsi"/>
          <w:sz w:val="22"/>
          <w:szCs w:val="22"/>
          <w:u w:val="single"/>
        </w:rPr>
        <w:t>Main Responsibilities:</w:t>
      </w: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EC6DCD">
      <w:pPr>
        <w:pStyle w:val="ListParagraph"/>
        <w:numPr>
          <w:ilvl w:val="0"/>
          <w:numId w:val="1"/>
        </w:numPr>
      </w:pPr>
      <w:r>
        <w:t xml:space="preserve">Plan and deliver lessons/assignments in Music Technology across all Creative Media Vocational programmes and range of year groups/abilities at the </w:t>
      </w:r>
      <w:proofErr w:type="spellStart"/>
      <w:r>
        <w:t>ArtxChange</w:t>
      </w:r>
      <w:proofErr w:type="spellEnd"/>
      <w:r>
        <w:t xml:space="preserve"> College.</w:t>
      </w:r>
    </w:p>
    <w:p w:rsidR="00B94510" w:rsidRDefault="00EC6DCD">
      <w:pPr>
        <w:pStyle w:val="ListParagraph"/>
        <w:numPr>
          <w:ilvl w:val="0"/>
          <w:numId w:val="1"/>
        </w:numPr>
      </w:pPr>
      <w:r>
        <w:t xml:space="preserve">Support the delivery and implementation of courses of study for students working towards UAL qualifications and other courses as directed by the College Leadership Team. </w:t>
      </w:r>
    </w:p>
    <w:p w:rsidR="00B94510" w:rsidRDefault="00EC6DCD">
      <w:pPr>
        <w:pStyle w:val="ListParagraph"/>
        <w:numPr>
          <w:ilvl w:val="0"/>
          <w:numId w:val="1"/>
        </w:numPr>
        <w:rPr>
          <w:b/>
        </w:rPr>
      </w:pPr>
      <w:r>
        <w:t>To work collaboratively with colleagues to support the planning and delivery of high quality learning across all Creative Media Programmes with a specific responsibility for Music and Music Technology.</w:t>
      </w:r>
    </w:p>
    <w:p w:rsidR="00B94510" w:rsidRDefault="00EC6DCD">
      <w:pPr>
        <w:pStyle w:val="ListParagraph"/>
        <w:numPr>
          <w:ilvl w:val="0"/>
          <w:numId w:val="1"/>
        </w:numPr>
        <w:rPr>
          <w:b/>
        </w:rPr>
      </w:pPr>
      <w:r>
        <w:t>Model a high standard of professionalism of teaching planning and classroom practice.</w:t>
      </w:r>
    </w:p>
    <w:p w:rsidR="00B94510" w:rsidRDefault="00EC6DCD">
      <w:pPr>
        <w:pStyle w:val="ListParagraph"/>
        <w:numPr>
          <w:ilvl w:val="0"/>
          <w:numId w:val="1"/>
        </w:numPr>
        <w:rPr>
          <w:b/>
        </w:rPr>
      </w:pPr>
      <w:r>
        <w:t>To create a vibrant learning environment that embraces a wide range of teaching and learning strategies/styles.</w:t>
      </w:r>
    </w:p>
    <w:p w:rsidR="00B94510" w:rsidRDefault="00EC6DCD">
      <w:pPr>
        <w:pStyle w:val="ListParagraph"/>
        <w:numPr>
          <w:ilvl w:val="0"/>
          <w:numId w:val="1"/>
        </w:numPr>
      </w:pPr>
      <w:r>
        <w:t xml:space="preserve">Plan and prepare differentiated schemes and units of learning and ensure maintenance of up to date planning documentation. </w:t>
      </w:r>
    </w:p>
    <w:p w:rsidR="00B94510" w:rsidRDefault="00EC6DCD">
      <w:pPr>
        <w:pStyle w:val="ListParagraph"/>
        <w:numPr>
          <w:ilvl w:val="0"/>
          <w:numId w:val="1"/>
        </w:numPr>
      </w:pPr>
      <w:r>
        <w:t xml:space="preserve">Plan and deliver lessons that </w:t>
      </w:r>
      <w:proofErr w:type="gramStart"/>
      <w:r>
        <w:t>are differentiated</w:t>
      </w:r>
      <w:proofErr w:type="gramEnd"/>
      <w:r>
        <w:t xml:space="preserve"> according to the educational needs of the students in your classes.</w:t>
      </w:r>
    </w:p>
    <w:p w:rsidR="00B94510" w:rsidRDefault="00EC6DCD">
      <w:pPr>
        <w:pStyle w:val="ListParagraph"/>
        <w:numPr>
          <w:ilvl w:val="0"/>
          <w:numId w:val="1"/>
        </w:numPr>
      </w:pPr>
      <w:r>
        <w:t xml:space="preserve">Regularly assess and mark learning carried out by the students in your care. </w:t>
      </w:r>
    </w:p>
    <w:p w:rsidR="00B94510" w:rsidRDefault="00EC6DCD">
      <w:pPr>
        <w:pStyle w:val="ListParagraph"/>
        <w:numPr>
          <w:ilvl w:val="0"/>
          <w:numId w:val="1"/>
        </w:numPr>
      </w:pPr>
      <w:r>
        <w:t>Ensure that student learning portfolios and evidence for progress towards qualification is in place for internal and external verification and assessment.</w:t>
      </w:r>
    </w:p>
    <w:p w:rsidR="00B94510" w:rsidRDefault="00EC6DCD">
      <w:pPr>
        <w:pStyle w:val="ListParagraph"/>
        <w:numPr>
          <w:ilvl w:val="0"/>
          <w:numId w:val="1"/>
        </w:numPr>
      </w:pPr>
      <w:r>
        <w:t xml:space="preserve">Plan, supervise and appropriately direct activities to </w:t>
      </w:r>
      <w:proofErr w:type="gramStart"/>
      <w:r>
        <w:t>be carried out</w:t>
      </w:r>
      <w:proofErr w:type="gramEnd"/>
      <w:r>
        <w:t xml:space="preserve"> by teaching assistants working under your guidance. </w:t>
      </w:r>
    </w:p>
    <w:p w:rsidR="00B94510" w:rsidRDefault="00EC6DCD">
      <w:pPr>
        <w:pStyle w:val="ListParagraph"/>
        <w:numPr>
          <w:ilvl w:val="0"/>
          <w:numId w:val="1"/>
        </w:numPr>
      </w:pPr>
      <w:r>
        <w:t xml:space="preserve">Understand the specific needs of </w:t>
      </w:r>
      <w:proofErr w:type="gramStart"/>
      <w:r>
        <w:t>students</w:t>
      </w:r>
      <w:proofErr w:type="gramEnd"/>
      <w:r>
        <w:t xml:space="preserve"> complex social, emotional and mental health difficulties under your care and tutelage to provide effective and appropriately engaging learning experiences.</w:t>
      </w:r>
    </w:p>
    <w:p w:rsidR="00B94510" w:rsidRDefault="00EC6DCD">
      <w:pPr>
        <w:pStyle w:val="ListParagraph"/>
        <w:numPr>
          <w:ilvl w:val="0"/>
          <w:numId w:val="1"/>
        </w:numPr>
      </w:pPr>
      <w:r>
        <w:t xml:space="preserve">Be responsible for the learning and achievement of all students in your classes ensuring equality of opportunity for all.  </w:t>
      </w:r>
    </w:p>
    <w:p w:rsidR="00B94510" w:rsidRDefault="00EC6DCD">
      <w:pPr>
        <w:pStyle w:val="ListParagraph"/>
        <w:numPr>
          <w:ilvl w:val="0"/>
          <w:numId w:val="1"/>
        </w:numPr>
      </w:pPr>
      <w:r>
        <w:t>Treat students with dignity, building relationships rooted in mutual respect, communicating and observing appropriate professional boundaries at all times.</w:t>
      </w:r>
    </w:p>
    <w:p w:rsidR="00B94510" w:rsidRDefault="00EC6DCD">
      <w:pPr>
        <w:pStyle w:val="ListParagraph"/>
        <w:numPr>
          <w:ilvl w:val="0"/>
          <w:numId w:val="1"/>
        </w:numPr>
      </w:pPr>
      <w:r>
        <w:t>Work proactively and effectively in collaboration and partnership with learners, parents/carers, governors, others staff and external agencies in the best interests of students.</w:t>
      </w:r>
    </w:p>
    <w:p w:rsidR="00B94510" w:rsidRDefault="00EC6DCD">
      <w:pPr>
        <w:pStyle w:val="ListParagraph"/>
        <w:numPr>
          <w:ilvl w:val="0"/>
          <w:numId w:val="1"/>
        </w:numPr>
      </w:pPr>
      <w:r>
        <w:t>Act within, the statutory frameworks, which set out their professional duties and responsibilities and in line with the duties outlined in the current School Teachers Pay and Conditions Document and Teacher Standards (2012).</w:t>
      </w:r>
    </w:p>
    <w:p w:rsidR="00EC6DCD" w:rsidRDefault="00EC6DCD">
      <w:pPr>
        <w:pStyle w:val="ListParagraph"/>
        <w:numPr>
          <w:ilvl w:val="0"/>
          <w:numId w:val="1"/>
        </w:numPr>
      </w:pPr>
      <w:r>
        <w:t xml:space="preserve">Be responsible for the appropriate use, monitoring and maintenance of all equipment and technology used to deliver music sessions. </w:t>
      </w:r>
    </w:p>
    <w:p w:rsidR="00B94510" w:rsidRDefault="00B94510">
      <w:pPr>
        <w:spacing w:after="0" w:line="240" w:lineRule="auto"/>
        <w:rPr>
          <w:rFonts w:eastAsia="Times New Roman" w:cstheme="minorHAnsi"/>
          <w:b/>
          <w:u w:val="single"/>
        </w:rPr>
      </w:pPr>
    </w:p>
    <w:p w:rsidR="00200723" w:rsidRDefault="00200723">
      <w:pPr>
        <w:spacing w:after="0" w:line="240" w:lineRule="auto"/>
        <w:rPr>
          <w:rFonts w:eastAsia="Times New Roman" w:cstheme="minorHAnsi"/>
          <w:b/>
          <w:u w:val="single"/>
        </w:rPr>
      </w:pPr>
    </w:p>
    <w:p w:rsidR="00200723" w:rsidRDefault="00200723">
      <w:pPr>
        <w:spacing w:after="0" w:line="240" w:lineRule="auto"/>
        <w:rPr>
          <w:rFonts w:eastAsia="Times New Roman" w:cstheme="minorHAnsi"/>
          <w:b/>
          <w:u w:val="single"/>
        </w:rPr>
      </w:pPr>
    </w:p>
    <w:p w:rsidR="00200723" w:rsidRDefault="00200723">
      <w:pPr>
        <w:spacing w:after="0" w:line="240" w:lineRule="auto"/>
        <w:rPr>
          <w:rFonts w:eastAsia="Times New Roman" w:cstheme="minorHAnsi"/>
          <w:b/>
          <w:u w:val="single"/>
        </w:rPr>
      </w:pPr>
    </w:p>
    <w:p w:rsidR="00200723" w:rsidRDefault="00200723">
      <w:pPr>
        <w:spacing w:after="0" w:line="240" w:lineRule="auto"/>
        <w:rPr>
          <w:rFonts w:eastAsia="Times New Roman" w:cstheme="minorHAnsi"/>
          <w:b/>
          <w:u w:val="single"/>
        </w:rPr>
      </w:pPr>
    </w:p>
    <w:p w:rsidR="00B94510" w:rsidRDefault="00EC6DCD">
      <w:pPr>
        <w:spacing w:after="0" w:line="240" w:lineRule="auto"/>
        <w:rPr>
          <w:rFonts w:eastAsia="Times New Roman" w:cstheme="minorHAnsi"/>
          <w:b/>
          <w:u w:val="single"/>
        </w:rPr>
      </w:pPr>
      <w:r>
        <w:rPr>
          <w:rFonts w:eastAsia="Times New Roman" w:cstheme="minorHAnsi"/>
          <w:b/>
          <w:u w:val="single"/>
        </w:rPr>
        <w:t xml:space="preserve">Assessment Recording &amp; Reporting </w:t>
      </w:r>
    </w:p>
    <w:p w:rsidR="00B94510" w:rsidRDefault="00B94510">
      <w:pPr>
        <w:spacing w:after="0" w:line="240" w:lineRule="auto"/>
        <w:rPr>
          <w:rFonts w:eastAsia="Times New Roman" w:cstheme="minorHAnsi"/>
          <w:b/>
          <w:u w:val="single"/>
        </w:rPr>
      </w:pPr>
    </w:p>
    <w:p w:rsidR="00B94510" w:rsidRDefault="00EC6DCD">
      <w:pPr>
        <w:numPr>
          <w:ilvl w:val="0"/>
          <w:numId w:val="2"/>
        </w:numPr>
        <w:spacing w:after="0" w:line="240" w:lineRule="auto"/>
        <w:rPr>
          <w:rFonts w:eastAsia="Times New Roman" w:cstheme="minorHAnsi"/>
        </w:rPr>
      </w:pPr>
      <w:r>
        <w:rPr>
          <w:rFonts w:eastAsia="Times New Roman" w:cstheme="minorHAnsi"/>
        </w:rPr>
        <w:t>Accept overall responsibility for all aspects of internal and external assessment.</w:t>
      </w:r>
    </w:p>
    <w:p w:rsidR="00B94510" w:rsidRDefault="00EC6DCD">
      <w:pPr>
        <w:numPr>
          <w:ilvl w:val="0"/>
          <w:numId w:val="2"/>
        </w:numPr>
        <w:spacing w:after="0" w:line="231" w:lineRule="atLeast"/>
        <w:rPr>
          <w:rFonts w:eastAsia="Times New Roman" w:cstheme="minorHAnsi"/>
        </w:rPr>
      </w:pPr>
      <w:proofErr w:type="gramStart"/>
      <w:r>
        <w:rPr>
          <w:rFonts w:eastAsia="Times New Roman" w:cstheme="minorHAnsi"/>
        </w:rPr>
        <w:t>Assess,</w:t>
      </w:r>
      <w:proofErr w:type="gramEnd"/>
      <w:r>
        <w:rPr>
          <w:rFonts w:eastAsia="Times New Roman" w:cstheme="minorHAnsi"/>
        </w:rPr>
        <w:t xml:space="preserve"> record and report on the development, progress and attainment of the students in your class.</w:t>
      </w:r>
    </w:p>
    <w:p w:rsidR="00B94510" w:rsidRDefault="00EC6DCD">
      <w:pPr>
        <w:numPr>
          <w:ilvl w:val="0"/>
          <w:numId w:val="2"/>
        </w:numPr>
        <w:spacing w:after="0" w:line="231" w:lineRule="atLeast"/>
        <w:rPr>
          <w:rFonts w:eastAsia="Times New Roman" w:cstheme="minorHAnsi"/>
        </w:rPr>
      </w:pPr>
      <w:r>
        <w:rPr>
          <w:rFonts w:eastAsia="Times New Roman" w:cstheme="minorHAnsi"/>
        </w:rPr>
        <w:t>To provide or contribute to oral written, photographic and video</w:t>
      </w:r>
      <w:r>
        <w:rPr>
          <w:rFonts w:eastAsia="Times New Roman" w:cstheme="minorHAnsi"/>
          <w:color w:val="FF0000"/>
        </w:rPr>
        <w:t xml:space="preserve"> </w:t>
      </w:r>
      <w:r>
        <w:rPr>
          <w:rFonts w:eastAsia="Times New Roman" w:cstheme="minorHAnsi"/>
        </w:rPr>
        <w:t>assessments, reports and references relating to individual students and groups of students.</w:t>
      </w:r>
    </w:p>
    <w:p w:rsidR="00B94510" w:rsidRDefault="00B94510">
      <w:pPr>
        <w:spacing w:after="0" w:line="231" w:lineRule="atLeast"/>
        <w:ind w:left="360"/>
        <w:rPr>
          <w:rFonts w:eastAsia="Times New Roman" w:cstheme="minorHAnsi"/>
          <w:b/>
        </w:rPr>
      </w:pPr>
    </w:p>
    <w:p w:rsidR="00B94510" w:rsidRDefault="00EC6DCD">
      <w:pPr>
        <w:spacing w:after="0" w:line="231" w:lineRule="atLeast"/>
        <w:rPr>
          <w:rFonts w:eastAsia="Times New Roman" w:cstheme="minorHAnsi"/>
          <w:b/>
          <w:u w:val="single"/>
        </w:rPr>
      </w:pPr>
      <w:r>
        <w:rPr>
          <w:rFonts w:eastAsia="Times New Roman" w:cstheme="minorHAnsi"/>
          <w:b/>
          <w:u w:val="single"/>
        </w:rPr>
        <w:t>Examinations &amp; Accreditation</w:t>
      </w:r>
    </w:p>
    <w:p w:rsidR="00B94510" w:rsidRDefault="00B94510">
      <w:pPr>
        <w:spacing w:after="0" w:line="231" w:lineRule="atLeast"/>
        <w:rPr>
          <w:rFonts w:eastAsia="Times New Roman" w:cstheme="minorHAnsi"/>
          <w:b/>
          <w:u w:val="single"/>
        </w:rPr>
      </w:pPr>
    </w:p>
    <w:p w:rsidR="00B94510" w:rsidRDefault="00EC6DCD">
      <w:pPr>
        <w:numPr>
          <w:ilvl w:val="0"/>
          <w:numId w:val="3"/>
        </w:numPr>
        <w:spacing w:after="0" w:line="231" w:lineRule="atLeast"/>
        <w:ind w:right="140"/>
        <w:rPr>
          <w:rFonts w:eastAsia="Times New Roman" w:cstheme="minorHAnsi"/>
        </w:rPr>
      </w:pPr>
      <w:r>
        <w:rPr>
          <w:rFonts w:eastAsia="Times New Roman" w:cstheme="minorHAnsi"/>
        </w:rPr>
        <w:t>To participate in arrangements for preparing students for examinations and the collation of evidence in support of accreditation.</w:t>
      </w:r>
    </w:p>
    <w:p w:rsidR="00B94510" w:rsidRDefault="00EC6DCD">
      <w:pPr>
        <w:numPr>
          <w:ilvl w:val="0"/>
          <w:numId w:val="3"/>
        </w:numPr>
        <w:spacing w:after="0" w:line="231" w:lineRule="atLeast"/>
        <w:ind w:right="140"/>
        <w:rPr>
          <w:rFonts w:eastAsia="Times New Roman" w:cstheme="minorHAnsi"/>
        </w:rPr>
      </w:pPr>
      <w:r>
        <w:rPr>
          <w:rFonts w:eastAsia="Times New Roman" w:cstheme="minorHAnsi"/>
        </w:rPr>
        <w:t>Assess students for the purposes of such examinations and accreditation opportunities, accurately recording and reporting on learning activities.</w:t>
      </w:r>
    </w:p>
    <w:p w:rsidR="00B94510" w:rsidRDefault="00EC6DCD">
      <w:pPr>
        <w:numPr>
          <w:ilvl w:val="0"/>
          <w:numId w:val="3"/>
        </w:numPr>
        <w:spacing w:after="0" w:line="231" w:lineRule="atLeast"/>
        <w:ind w:right="140"/>
        <w:rPr>
          <w:rFonts w:eastAsia="Times New Roman" w:cstheme="minorHAnsi"/>
        </w:rPr>
      </w:pPr>
      <w:r>
        <w:rPr>
          <w:rFonts w:eastAsia="Times New Roman" w:cstheme="minorHAnsi"/>
        </w:rPr>
        <w:t>To participate in arrangements for student presentation and/or performance for examinations and accreditation opportunities.</w:t>
      </w:r>
    </w:p>
    <w:p w:rsidR="00B94510" w:rsidRDefault="00B94510">
      <w:pPr>
        <w:spacing w:after="0" w:line="231" w:lineRule="atLeast"/>
        <w:ind w:right="140"/>
        <w:rPr>
          <w:rFonts w:eastAsia="Times New Roman" w:cstheme="minorHAnsi"/>
        </w:rPr>
      </w:pPr>
    </w:p>
    <w:p w:rsidR="00B94510" w:rsidRDefault="00EC6DCD">
      <w:pPr>
        <w:spacing w:after="0" w:line="231" w:lineRule="atLeast"/>
        <w:ind w:right="140"/>
        <w:rPr>
          <w:rFonts w:eastAsia="Times New Roman" w:cstheme="minorHAnsi"/>
          <w:b/>
          <w:u w:val="single"/>
        </w:rPr>
      </w:pPr>
      <w:r>
        <w:rPr>
          <w:rFonts w:eastAsia="Times New Roman" w:cstheme="minorHAnsi"/>
          <w:b/>
          <w:u w:val="single"/>
        </w:rPr>
        <w:t xml:space="preserve">Appraisals </w:t>
      </w:r>
    </w:p>
    <w:p w:rsidR="00B94510" w:rsidRDefault="00B94510">
      <w:pPr>
        <w:spacing w:after="0" w:line="231" w:lineRule="atLeast"/>
        <w:ind w:right="140"/>
        <w:rPr>
          <w:rFonts w:eastAsia="Times New Roman" w:cstheme="minorHAnsi"/>
          <w:b/>
          <w:u w:val="single"/>
        </w:rPr>
      </w:pPr>
    </w:p>
    <w:p w:rsidR="00B94510" w:rsidRDefault="00EC6DCD">
      <w:pPr>
        <w:numPr>
          <w:ilvl w:val="0"/>
          <w:numId w:val="4"/>
        </w:numPr>
        <w:spacing w:after="0" w:line="231" w:lineRule="atLeast"/>
        <w:rPr>
          <w:rFonts w:eastAsia="Times New Roman" w:cstheme="minorHAnsi"/>
        </w:rPr>
      </w:pPr>
      <w:r>
        <w:rPr>
          <w:rFonts w:eastAsia="Times New Roman" w:cstheme="minorHAnsi"/>
        </w:rPr>
        <w:t>To participate in arrangements for the appraisal of your own performance.</w:t>
      </w:r>
    </w:p>
    <w:p w:rsidR="00B94510" w:rsidRDefault="00EC6DCD">
      <w:pPr>
        <w:numPr>
          <w:ilvl w:val="0"/>
          <w:numId w:val="4"/>
        </w:numPr>
        <w:spacing w:after="0" w:line="231" w:lineRule="atLeast"/>
        <w:rPr>
          <w:rFonts w:eastAsia="Times New Roman" w:cstheme="minorHAnsi"/>
        </w:rPr>
      </w:pPr>
      <w:r>
        <w:rPr>
          <w:rFonts w:eastAsia="Times New Roman" w:cstheme="minorHAnsi"/>
        </w:rPr>
        <w:t>To participate in arrangements for the appraisal of other teachers and teaching assistants within your Department area.</w:t>
      </w:r>
    </w:p>
    <w:p w:rsidR="00B94510" w:rsidRDefault="00B94510">
      <w:pPr>
        <w:spacing w:after="0" w:line="231" w:lineRule="atLeast"/>
        <w:ind w:left="360"/>
        <w:rPr>
          <w:rFonts w:eastAsia="Times New Roman" w:cstheme="minorHAnsi"/>
        </w:rPr>
      </w:pPr>
    </w:p>
    <w:p w:rsidR="00B94510" w:rsidRDefault="00EC6DCD">
      <w:pPr>
        <w:widowControl w:val="0"/>
        <w:spacing w:after="0" w:line="231" w:lineRule="atLeast"/>
        <w:rPr>
          <w:rFonts w:eastAsia="Times New Roman" w:cstheme="minorHAnsi"/>
          <w:u w:val="single"/>
          <w:lang w:eastAsia="en-GB"/>
        </w:rPr>
      </w:pPr>
      <w:r>
        <w:rPr>
          <w:rFonts w:eastAsia="Times New Roman" w:cstheme="minorHAnsi"/>
          <w:b/>
          <w:bCs/>
          <w:u w:val="single"/>
          <w:lang w:eastAsia="en-GB"/>
        </w:rPr>
        <w:t>Further Training and Professional Development</w:t>
      </w:r>
      <w:r>
        <w:rPr>
          <w:rFonts w:eastAsia="Times New Roman" w:cstheme="minorHAnsi"/>
          <w:u w:val="single"/>
          <w:lang w:eastAsia="en-GB"/>
        </w:rPr>
        <w:t xml:space="preserve"> </w:t>
      </w:r>
    </w:p>
    <w:p w:rsidR="00B94510" w:rsidRDefault="00B94510">
      <w:pPr>
        <w:widowControl w:val="0"/>
        <w:spacing w:after="0" w:line="231" w:lineRule="atLeast"/>
        <w:rPr>
          <w:rFonts w:eastAsia="Times New Roman" w:cstheme="minorHAnsi"/>
          <w:u w:val="single"/>
          <w:lang w:eastAsia="en-GB"/>
        </w:rPr>
      </w:pPr>
    </w:p>
    <w:p w:rsidR="00081F2F" w:rsidRDefault="00EC6DCD">
      <w:pPr>
        <w:numPr>
          <w:ilvl w:val="0"/>
          <w:numId w:val="5"/>
        </w:numPr>
        <w:spacing w:after="0" w:line="231" w:lineRule="atLeast"/>
        <w:ind w:right="868"/>
        <w:rPr>
          <w:rFonts w:eastAsia="Times New Roman" w:cstheme="minorHAnsi"/>
        </w:rPr>
      </w:pPr>
      <w:r>
        <w:rPr>
          <w:rFonts w:eastAsia="Times New Roman" w:cstheme="minorHAnsi"/>
        </w:rPr>
        <w:t>To keep under review your methods of teaching and programmes of work</w:t>
      </w:r>
      <w:r w:rsidR="00081F2F">
        <w:rPr>
          <w:rFonts w:eastAsia="Times New Roman" w:cstheme="minorHAnsi"/>
        </w:rPr>
        <w:t>.</w:t>
      </w:r>
    </w:p>
    <w:p w:rsidR="00B94510" w:rsidRDefault="00081F2F" w:rsidP="00081F2F">
      <w:pPr>
        <w:spacing w:after="0" w:line="231" w:lineRule="atLeast"/>
        <w:ind w:left="720" w:right="868"/>
        <w:rPr>
          <w:rFonts w:eastAsia="Times New Roman" w:cstheme="minorHAnsi"/>
        </w:rPr>
      </w:pPr>
      <w:r>
        <w:rPr>
          <w:rFonts w:eastAsia="Times New Roman" w:cstheme="minorHAnsi"/>
        </w:rPr>
        <w:t>P</w:t>
      </w:r>
      <w:r w:rsidR="00EC6DCD">
        <w:rPr>
          <w:rFonts w:eastAsia="Times New Roman" w:cstheme="minorHAnsi"/>
        </w:rPr>
        <w:t>arti</w:t>
      </w:r>
      <w:r>
        <w:rPr>
          <w:rFonts w:eastAsia="Times New Roman" w:cstheme="minorHAnsi"/>
        </w:rPr>
        <w:t xml:space="preserve">cipate in arrangements for </w:t>
      </w:r>
      <w:r w:rsidR="00EC6DCD">
        <w:rPr>
          <w:rFonts w:eastAsia="Times New Roman" w:cstheme="minorHAnsi"/>
        </w:rPr>
        <w:t xml:space="preserve">further training and professional development as a teacher. </w:t>
      </w:r>
    </w:p>
    <w:p w:rsidR="00B94510" w:rsidRDefault="00B94510">
      <w:pPr>
        <w:spacing w:after="0" w:line="231" w:lineRule="atLeast"/>
        <w:ind w:right="868"/>
        <w:rPr>
          <w:rFonts w:eastAsia="Times New Roman" w:cstheme="minorHAnsi"/>
        </w:rPr>
      </w:pPr>
    </w:p>
    <w:p w:rsidR="00B94510" w:rsidRDefault="00EC6DCD">
      <w:pPr>
        <w:pStyle w:val="NormalWeb"/>
        <w:shd w:val="clear" w:color="auto" w:fill="FFFFFF"/>
        <w:spacing w:beforeAutospacing="0" w:after="0" w:afterAutospacing="0"/>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 xml:space="preserve"> Form Tutor</w:t>
      </w: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u w:val="single"/>
          <w:shd w:val="clear" w:color="auto" w:fill="FFFFFF"/>
        </w:rPr>
      </w:pPr>
    </w:p>
    <w:p w:rsidR="00B94510" w:rsidRDefault="00EC6DCD">
      <w:pPr>
        <w:pStyle w:val="NormalWeb"/>
        <w:numPr>
          <w:ilvl w:val="0"/>
          <w:numId w:val="5"/>
        </w:numPr>
        <w:shd w:val="clear" w:color="auto" w:fill="FFFFFF"/>
        <w:spacing w:beforeAutospacing="0" w:after="0" w:afterAutospacing="0"/>
        <w:rPr>
          <w:rFonts w:asciiTheme="minorHAnsi" w:hAnsiTheme="minorHAnsi" w:cstheme="minorHAnsi"/>
          <w:color w:val="000000"/>
          <w:sz w:val="20"/>
          <w:szCs w:val="20"/>
          <w:u w:val="single"/>
          <w:shd w:val="clear" w:color="auto" w:fill="FFFFFF"/>
        </w:rPr>
      </w:pPr>
      <w:r>
        <w:rPr>
          <w:rFonts w:asciiTheme="minorHAnsi" w:hAnsiTheme="minorHAnsi" w:cstheme="minorHAnsi"/>
          <w:color w:val="000000"/>
          <w:sz w:val="20"/>
          <w:szCs w:val="20"/>
          <w:shd w:val="clear" w:color="auto" w:fill="FFFFFF"/>
        </w:rPr>
        <w:t xml:space="preserve">To be responsible as a form tutor to a cohort of students as allocated by the leadership team. </w:t>
      </w:r>
    </w:p>
    <w:p w:rsidR="00B94510" w:rsidRDefault="00EC6DCD">
      <w:pPr>
        <w:pStyle w:val="NormalWeb"/>
        <w:numPr>
          <w:ilvl w:val="0"/>
          <w:numId w:val="5"/>
        </w:numPr>
        <w:shd w:val="clear" w:color="auto" w:fill="FFFFFF"/>
        <w:spacing w:beforeAutospacing="0" w:after="0" w:afterAutospacing="0"/>
        <w:rPr>
          <w:rFonts w:asciiTheme="minorHAnsi" w:hAnsiTheme="minorHAnsi" w:cstheme="minorHAnsi"/>
          <w:color w:val="000000"/>
          <w:sz w:val="20"/>
          <w:szCs w:val="20"/>
          <w:u w:val="single"/>
          <w:shd w:val="clear" w:color="auto" w:fill="FFFFFF"/>
        </w:rPr>
      </w:pPr>
      <w:r>
        <w:rPr>
          <w:rFonts w:asciiTheme="minorHAnsi" w:hAnsiTheme="minorHAnsi" w:cstheme="minorHAnsi"/>
          <w:color w:val="000000"/>
          <w:sz w:val="20"/>
          <w:szCs w:val="20"/>
          <w:shd w:val="clear" w:color="auto" w:fill="FFFFFF"/>
        </w:rPr>
        <w:t xml:space="preserve">To maintain up to date and accurate records of attendance, punctuality and engagement with learning. </w:t>
      </w:r>
    </w:p>
    <w:p w:rsidR="00B94510" w:rsidRDefault="00EC6DCD">
      <w:pPr>
        <w:pStyle w:val="NormalWeb"/>
        <w:numPr>
          <w:ilvl w:val="0"/>
          <w:numId w:val="5"/>
        </w:numPr>
        <w:shd w:val="clear" w:color="auto" w:fill="FFFFFF"/>
        <w:spacing w:beforeAutospacing="0" w:after="0" w:afterAutospacing="0"/>
        <w:rPr>
          <w:rFonts w:asciiTheme="minorHAnsi" w:hAnsiTheme="minorHAnsi" w:cstheme="minorHAnsi"/>
          <w:color w:val="000000"/>
          <w:sz w:val="20"/>
          <w:szCs w:val="20"/>
          <w:u w:val="single"/>
          <w:shd w:val="clear" w:color="auto" w:fill="FFFFFF"/>
        </w:rPr>
      </w:pPr>
      <w:r>
        <w:rPr>
          <w:rFonts w:asciiTheme="minorHAnsi" w:hAnsiTheme="minorHAnsi" w:cstheme="minorHAnsi"/>
          <w:color w:val="000000"/>
          <w:sz w:val="20"/>
          <w:szCs w:val="20"/>
          <w:shd w:val="clear" w:color="auto" w:fill="FFFFFF"/>
        </w:rPr>
        <w:t xml:space="preserve">To fulfil pastoral and communication responsibilities as directed by the leadership of the College, ensuring that matters related to student behaviour, social, emotional and mental well-being </w:t>
      </w:r>
      <w:proofErr w:type="gramStart"/>
      <w:r>
        <w:rPr>
          <w:rFonts w:asciiTheme="minorHAnsi" w:hAnsiTheme="minorHAnsi" w:cstheme="minorHAnsi"/>
          <w:color w:val="000000"/>
          <w:sz w:val="20"/>
          <w:szCs w:val="20"/>
          <w:shd w:val="clear" w:color="auto" w:fill="FFFFFF"/>
        </w:rPr>
        <w:t>are communicated</w:t>
      </w:r>
      <w:proofErr w:type="gramEnd"/>
      <w:r>
        <w:rPr>
          <w:rFonts w:asciiTheme="minorHAnsi" w:hAnsiTheme="minorHAnsi" w:cstheme="minorHAnsi"/>
          <w:color w:val="000000"/>
          <w:sz w:val="20"/>
          <w:szCs w:val="20"/>
          <w:shd w:val="clear" w:color="auto" w:fill="FFFFFF"/>
        </w:rPr>
        <w:t xml:space="preserve"> promptly with the leadership team and colleagues where appropriate. </w:t>
      </w:r>
    </w:p>
    <w:p w:rsidR="00B94510" w:rsidRDefault="00EC6DCD">
      <w:pPr>
        <w:pStyle w:val="NormalWeb"/>
        <w:numPr>
          <w:ilvl w:val="0"/>
          <w:numId w:val="5"/>
        </w:numPr>
        <w:shd w:val="clear" w:color="auto" w:fill="FFFFFF"/>
        <w:spacing w:beforeAutospacing="0" w:after="0" w:afterAutospacing="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To </w:t>
      </w:r>
      <w:proofErr w:type="gramStart"/>
      <w:r>
        <w:rPr>
          <w:rFonts w:asciiTheme="minorHAnsi" w:hAnsiTheme="minorHAnsi" w:cstheme="minorHAnsi"/>
          <w:color w:val="000000"/>
          <w:sz w:val="20"/>
          <w:szCs w:val="20"/>
          <w:shd w:val="clear" w:color="auto" w:fill="FFFFFF"/>
        </w:rPr>
        <w:t>Provide</w:t>
      </w:r>
      <w:proofErr w:type="gramEnd"/>
      <w:r>
        <w:rPr>
          <w:rFonts w:asciiTheme="minorHAnsi" w:hAnsiTheme="minorHAnsi" w:cstheme="minorHAnsi"/>
          <w:color w:val="000000"/>
          <w:sz w:val="20"/>
          <w:szCs w:val="20"/>
          <w:shd w:val="clear" w:color="auto" w:fill="FFFFFF"/>
        </w:rPr>
        <w:t xml:space="preserve"> formal input to academic reviews and EHCP annual review meetings, working closely with the SENCO to monitor the effectiveness of interventions in relation to the progress and wellbeing of Form group members.</w:t>
      </w:r>
    </w:p>
    <w:p w:rsidR="00B94510" w:rsidRDefault="00EC6DCD">
      <w:pPr>
        <w:pStyle w:val="NormalWeb"/>
        <w:numPr>
          <w:ilvl w:val="0"/>
          <w:numId w:val="5"/>
        </w:numPr>
        <w:shd w:val="clear" w:color="auto" w:fill="FFFFFF"/>
        <w:spacing w:beforeAutospacing="0" w:after="0" w:afterAutospacing="0"/>
        <w:rPr>
          <w:rFonts w:asciiTheme="minorHAnsi" w:hAnsiTheme="minorHAnsi" w:cstheme="minorHAnsi"/>
          <w:color w:val="000000"/>
          <w:sz w:val="20"/>
          <w:szCs w:val="20"/>
          <w:u w:val="single"/>
          <w:shd w:val="clear" w:color="auto" w:fill="FFFFFF"/>
        </w:rPr>
      </w:pPr>
      <w:r>
        <w:rPr>
          <w:rFonts w:asciiTheme="minorHAnsi" w:hAnsiTheme="minorHAnsi" w:cstheme="minorHAnsi"/>
          <w:color w:val="000000"/>
          <w:sz w:val="20"/>
          <w:szCs w:val="20"/>
          <w:shd w:val="clear" w:color="auto" w:fill="FFFFFF"/>
        </w:rPr>
        <w:t xml:space="preserve">Plan and lead trips as necessary to enrich the educational, social and emotional development of students within your care. </w:t>
      </w:r>
    </w:p>
    <w:p w:rsidR="00B94510" w:rsidRDefault="00B94510">
      <w:pPr>
        <w:pStyle w:val="NormalWeb"/>
        <w:shd w:val="clear" w:color="auto" w:fill="FFFFFF"/>
        <w:spacing w:beforeAutospacing="0" w:after="0" w:afterAutospacing="0"/>
        <w:ind w:left="720"/>
        <w:rPr>
          <w:rFonts w:asciiTheme="minorHAnsi" w:hAnsiTheme="minorHAnsi" w:cstheme="minorHAnsi"/>
          <w:color w:val="000000"/>
          <w:sz w:val="20"/>
          <w:szCs w:val="20"/>
          <w:shd w:val="clear" w:color="auto" w:fill="FFFFFF"/>
        </w:rPr>
      </w:pPr>
    </w:p>
    <w:p w:rsidR="00B94510" w:rsidRDefault="00EC6DCD">
      <w:pPr>
        <w:pStyle w:val="NormalWeb"/>
        <w:shd w:val="clear" w:color="auto" w:fill="FFFFFF"/>
        <w:spacing w:beforeAutospacing="0" w:after="0" w:afterAutospacing="0"/>
        <w:ind w:left="720"/>
        <w:rPr>
          <w:rFonts w:cstheme="minorHAnsi"/>
        </w:rPr>
      </w:pPr>
      <w:r>
        <w:rPr>
          <w:rFonts w:asciiTheme="minorHAnsi" w:hAnsiTheme="minorHAnsi" w:cstheme="minorHAnsi"/>
          <w:color w:val="000000"/>
          <w:sz w:val="20"/>
          <w:szCs w:val="20"/>
          <w:shd w:val="clear" w:color="auto" w:fill="FFFFFF"/>
        </w:rPr>
        <w:t>*</w:t>
      </w:r>
      <w:r>
        <w:rPr>
          <w:rFonts w:asciiTheme="minorHAnsi" w:eastAsiaTheme="minorHAnsi" w:hAnsiTheme="minorHAnsi" w:cstheme="minorBidi"/>
          <w:sz w:val="22"/>
          <w:szCs w:val="22"/>
          <w:lang w:eastAsia="en-US"/>
        </w:rPr>
        <w:t xml:space="preserve"> </w:t>
      </w:r>
      <w:r>
        <w:rPr>
          <w:rFonts w:asciiTheme="minorHAnsi" w:hAnsiTheme="minorHAnsi" w:cstheme="minorHAnsi"/>
          <w:color w:val="000000"/>
          <w:sz w:val="20"/>
          <w:szCs w:val="20"/>
          <w:shd w:val="clear" w:color="auto" w:fill="FFFFFF"/>
        </w:rPr>
        <w:t xml:space="preserve">This job description is not necessarily a comprehensive definition of the post and </w:t>
      </w:r>
      <w:proofErr w:type="gramStart"/>
      <w:r>
        <w:rPr>
          <w:rFonts w:asciiTheme="minorHAnsi" w:hAnsiTheme="minorHAnsi" w:cstheme="minorHAnsi"/>
          <w:color w:val="000000"/>
          <w:sz w:val="20"/>
          <w:szCs w:val="20"/>
          <w:shd w:val="clear" w:color="auto" w:fill="FFFFFF"/>
        </w:rPr>
        <w:t>may be reviewed</w:t>
      </w:r>
      <w:proofErr w:type="gramEnd"/>
      <w:r>
        <w:rPr>
          <w:rFonts w:asciiTheme="minorHAnsi" w:hAnsiTheme="minorHAnsi" w:cstheme="minorHAnsi"/>
          <w:color w:val="000000"/>
          <w:sz w:val="20"/>
          <w:szCs w:val="20"/>
          <w:shd w:val="clear" w:color="auto" w:fill="FFFFFF"/>
        </w:rPr>
        <w:t xml:space="preserve"> during the performance management process and may be subject to modification or amendment following consultation with the successful candidate. </w:t>
      </w:r>
    </w:p>
    <w:p w:rsidR="00B94510" w:rsidRDefault="00B94510">
      <w:pPr>
        <w:spacing w:after="0" w:line="231" w:lineRule="atLeast"/>
        <w:ind w:right="868"/>
        <w:rPr>
          <w:rFonts w:eastAsia="Times New Roman" w:cstheme="minorHAnsi"/>
        </w:rPr>
      </w:pPr>
    </w:p>
    <w:p w:rsidR="00B94510" w:rsidRDefault="00B94510">
      <w:pPr>
        <w:spacing w:after="0" w:line="231" w:lineRule="atLeast"/>
        <w:ind w:right="868"/>
        <w:rPr>
          <w:rFonts w:eastAsia="Times New Roman" w:cstheme="minorHAnsi"/>
        </w:rPr>
      </w:pPr>
    </w:p>
    <w:p w:rsidR="00B94510" w:rsidRDefault="00B94510">
      <w:pPr>
        <w:spacing w:after="0" w:line="231" w:lineRule="atLeast"/>
        <w:ind w:right="868"/>
        <w:rPr>
          <w:rFonts w:eastAsia="Times New Roman" w:cstheme="minorHAnsi"/>
        </w:rPr>
      </w:pPr>
    </w:p>
    <w:p w:rsidR="00B94510" w:rsidRDefault="00B94510">
      <w:pPr>
        <w:spacing w:after="0" w:line="231" w:lineRule="atLeast"/>
        <w:ind w:right="868"/>
        <w:rPr>
          <w:rFonts w:eastAsia="Times New Roman" w:cstheme="minorHAnsi"/>
        </w:rPr>
      </w:pPr>
    </w:p>
    <w:p w:rsidR="00200723" w:rsidRDefault="00200723">
      <w:pPr>
        <w:spacing w:after="0" w:line="231" w:lineRule="atLeast"/>
        <w:ind w:right="868"/>
        <w:rPr>
          <w:rFonts w:eastAsia="Times New Roman" w:cstheme="minorHAnsi"/>
        </w:rPr>
      </w:pPr>
    </w:p>
    <w:p w:rsidR="00B94510" w:rsidRDefault="00EC6DCD">
      <w:pPr>
        <w:spacing w:after="0" w:line="231" w:lineRule="atLeast"/>
        <w:ind w:right="868"/>
        <w:rPr>
          <w:rFonts w:eastAsia="Times New Roman" w:cstheme="minorHAnsi"/>
          <w:b/>
        </w:rPr>
      </w:pPr>
      <w:r w:rsidRPr="00081F2F">
        <w:rPr>
          <w:rFonts w:eastAsia="Times New Roman" w:cstheme="minorHAnsi"/>
          <w:b/>
        </w:rPr>
        <w:t xml:space="preserve">Person Specification – Music Tech Tutor </w:t>
      </w:r>
    </w:p>
    <w:p w:rsidR="00200723" w:rsidRDefault="00200723">
      <w:pPr>
        <w:spacing w:after="0" w:line="231" w:lineRule="atLeast"/>
        <w:ind w:right="868"/>
        <w:rPr>
          <w:rFonts w:eastAsia="Times New Roman" w:cstheme="minorHAnsi"/>
        </w:rPr>
      </w:pPr>
    </w:p>
    <w:tbl>
      <w:tblPr>
        <w:tblStyle w:val="TableGrid"/>
        <w:tblW w:w="10013" w:type="dxa"/>
        <w:tblLayout w:type="fixed"/>
        <w:tblLook w:val="06A0" w:firstRow="1" w:lastRow="0" w:firstColumn="1" w:lastColumn="0" w:noHBand="1" w:noVBand="1"/>
      </w:tblPr>
      <w:tblGrid>
        <w:gridCol w:w="5985"/>
        <w:gridCol w:w="2103"/>
        <w:gridCol w:w="1925"/>
      </w:tblGrid>
      <w:tr w:rsidR="00B94510" w:rsidRPr="00200723" w:rsidTr="00200723">
        <w:trPr>
          <w:trHeight w:val="191"/>
        </w:trPr>
        <w:tc>
          <w:tcPr>
            <w:tcW w:w="5985" w:type="dxa"/>
          </w:tcPr>
          <w:p w:rsidR="00B94510" w:rsidRPr="00200723" w:rsidRDefault="00EC6DCD">
            <w:pPr>
              <w:pStyle w:val="ListParagraph"/>
              <w:spacing w:after="0" w:line="240" w:lineRule="auto"/>
              <w:ind w:left="0"/>
              <w:rPr>
                <w:b/>
                <w:smallCaps/>
                <w:sz w:val="18"/>
                <w:szCs w:val="18"/>
              </w:rPr>
            </w:pPr>
            <w:r w:rsidRPr="00200723">
              <w:rPr>
                <w:rFonts w:eastAsia="Calibri"/>
                <w:b/>
                <w:smallCaps/>
                <w:sz w:val="18"/>
                <w:szCs w:val="18"/>
              </w:rPr>
              <w:t>Requirements</w:t>
            </w:r>
          </w:p>
        </w:tc>
        <w:tc>
          <w:tcPr>
            <w:tcW w:w="2103"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Essential</w:t>
            </w:r>
          </w:p>
        </w:tc>
        <w:tc>
          <w:tcPr>
            <w:tcW w:w="192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Desirable</w:t>
            </w:r>
          </w:p>
        </w:tc>
      </w:tr>
      <w:tr w:rsidR="00B94510" w:rsidRPr="00200723" w:rsidTr="00200723">
        <w:trPr>
          <w:trHeight w:val="191"/>
        </w:trPr>
        <w:tc>
          <w:tcPr>
            <w:tcW w:w="5985" w:type="dxa"/>
            <w:shd w:val="clear" w:color="auto" w:fill="F955D6"/>
          </w:tcPr>
          <w:p w:rsidR="00B94510" w:rsidRPr="00200723" w:rsidRDefault="00EC6DCD">
            <w:pPr>
              <w:pStyle w:val="ListParagraph"/>
              <w:spacing w:after="0" w:line="240" w:lineRule="auto"/>
              <w:ind w:left="0"/>
              <w:rPr>
                <w:b/>
                <w:i/>
                <w:color w:val="FFFFFF" w:themeColor="background1"/>
                <w:sz w:val="18"/>
                <w:szCs w:val="18"/>
              </w:rPr>
            </w:pPr>
            <w:r w:rsidRPr="00200723">
              <w:rPr>
                <w:rFonts w:eastAsia="Calibri"/>
                <w:b/>
                <w:i/>
                <w:color w:val="FFFFFF" w:themeColor="background1"/>
                <w:sz w:val="18"/>
                <w:szCs w:val="18"/>
              </w:rPr>
              <w:t>Education and Experience</w:t>
            </w:r>
          </w:p>
        </w:tc>
        <w:tc>
          <w:tcPr>
            <w:tcW w:w="2103" w:type="dxa"/>
            <w:shd w:val="clear" w:color="auto" w:fill="000000" w:themeFill="text1"/>
          </w:tcPr>
          <w:p w:rsidR="00B94510" w:rsidRPr="00200723" w:rsidRDefault="00B94510">
            <w:pPr>
              <w:pStyle w:val="ListParagraph"/>
              <w:spacing w:after="0" w:line="240" w:lineRule="auto"/>
              <w:ind w:left="0"/>
              <w:rPr>
                <w:rFonts w:ascii="Calibri" w:eastAsia="Calibri" w:hAnsi="Calibri"/>
                <w:sz w:val="18"/>
                <w:szCs w:val="18"/>
              </w:rPr>
            </w:pPr>
          </w:p>
        </w:tc>
        <w:tc>
          <w:tcPr>
            <w:tcW w:w="1925" w:type="dxa"/>
            <w:shd w:val="clear" w:color="auto" w:fill="000000" w:themeFill="text1"/>
          </w:tcPr>
          <w:p w:rsidR="00B94510" w:rsidRPr="00200723" w:rsidRDefault="00B94510">
            <w:pPr>
              <w:pStyle w:val="ListParagraph"/>
              <w:spacing w:after="0" w:line="240" w:lineRule="auto"/>
              <w:ind w:left="0"/>
              <w:rPr>
                <w:rFonts w:ascii="Calibri" w:eastAsia="Calibri" w:hAnsi="Calibri"/>
                <w:sz w:val="18"/>
                <w:szCs w:val="18"/>
              </w:rPr>
            </w:pPr>
          </w:p>
        </w:tc>
      </w:tr>
      <w:tr w:rsidR="00B94510" w:rsidRPr="00200723" w:rsidTr="00200723">
        <w:trPr>
          <w:trHeight w:val="533"/>
        </w:trPr>
        <w:tc>
          <w:tcPr>
            <w:tcW w:w="5985" w:type="dxa"/>
          </w:tcPr>
          <w:p w:rsidR="00B94510" w:rsidRPr="00200723" w:rsidRDefault="00EC6DCD">
            <w:pPr>
              <w:spacing w:after="0" w:line="240" w:lineRule="auto"/>
              <w:rPr>
                <w:rFonts w:ascii="Calibri" w:hAnsi="Calibri"/>
                <w:sz w:val="18"/>
                <w:szCs w:val="18"/>
              </w:rPr>
            </w:pPr>
            <w:r w:rsidRPr="00200723">
              <w:rPr>
                <w:rFonts w:eastAsia="Calibri"/>
                <w:sz w:val="18"/>
                <w:szCs w:val="18"/>
              </w:rPr>
              <w:t>Degree level qualification in Performing Arts, Music, Sound Engineering or a related discipline.</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514"/>
        </w:trPr>
        <w:tc>
          <w:tcPr>
            <w:tcW w:w="5985" w:type="dxa"/>
          </w:tcPr>
          <w:p w:rsidR="00B94510" w:rsidRPr="00200723" w:rsidRDefault="00EC6DCD">
            <w:pPr>
              <w:pStyle w:val="ListParagraph"/>
              <w:spacing w:after="0" w:line="240" w:lineRule="auto"/>
              <w:ind w:left="0"/>
              <w:rPr>
                <w:rFonts w:eastAsia="Calibri"/>
                <w:sz w:val="18"/>
                <w:szCs w:val="18"/>
              </w:rPr>
            </w:pPr>
            <w:r w:rsidRPr="00200723">
              <w:rPr>
                <w:rFonts w:eastAsia="Calibri"/>
                <w:sz w:val="18"/>
                <w:szCs w:val="18"/>
              </w:rPr>
              <w:t xml:space="preserve">At least two years' experience working with the SEMH or AP environment in a classroom-based role. </w:t>
            </w:r>
          </w:p>
        </w:tc>
        <w:tc>
          <w:tcPr>
            <w:tcW w:w="2103" w:type="dxa"/>
            <w:vAlign w:val="center"/>
          </w:tcPr>
          <w:p w:rsidR="00B94510" w:rsidRPr="00200723" w:rsidRDefault="00EC6DCD">
            <w:pPr>
              <w:pStyle w:val="ListParagraph"/>
              <w:spacing w:after="0" w:line="240" w:lineRule="auto"/>
              <w:ind w:left="0"/>
              <w:jc w:val="center"/>
              <w:rPr>
                <w:rFonts w:cs="Arial"/>
                <w:sz w:val="18"/>
                <w:szCs w:val="18"/>
              </w:rPr>
            </w:pPr>
            <w:r w:rsidRPr="00200723">
              <w:rPr>
                <w:rFonts w:eastAsia="Calibri" w:cs="Arial"/>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eastAsia="Calibri"/>
                <w:sz w:val="18"/>
                <w:szCs w:val="18"/>
              </w:rPr>
            </w:pPr>
            <w:r w:rsidRPr="00200723">
              <w:rPr>
                <w:rFonts w:eastAsia="Calibri"/>
                <w:sz w:val="18"/>
                <w:szCs w:val="18"/>
              </w:rPr>
              <w:t>Relevant experience of supporting the delivery of music/music technology/digital media and performing arts teaching</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hAnsi="Calibri"/>
                <w:sz w:val="18"/>
                <w:szCs w:val="18"/>
              </w:rPr>
            </w:pPr>
            <w:r w:rsidRPr="00200723">
              <w:rPr>
                <w:rFonts w:eastAsia="Calibri"/>
                <w:sz w:val="18"/>
                <w:szCs w:val="18"/>
              </w:rPr>
              <w:t>Experience delivering BTEC (or similar) qualifications</w:t>
            </w:r>
          </w:p>
        </w:tc>
        <w:tc>
          <w:tcPr>
            <w:tcW w:w="2103"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c>
          <w:tcPr>
            <w:tcW w:w="1925"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r>
      <w:tr w:rsidR="00B94510" w:rsidRPr="00200723" w:rsidTr="00200723">
        <w:trPr>
          <w:trHeight w:val="191"/>
        </w:trPr>
        <w:tc>
          <w:tcPr>
            <w:tcW w:w="5985" w:type="dxa"/>
            <w:shd w:val="clear" w:color="auto" w:fill="F955D6"/>
          </w:tcPr>
          <w:p w:rsidR="00B94510" w:rsidRPr="00200723" w:rsidRDefault="00EC6DCD">
            <w:pPr>
              <w:pStyle w:val="ListParagraph"/>
              <w:spacing w:after="0" w:line="240" w:lineRule="auto"/>
              <w:ind w:left="0"/>
              <w:rPr>
                <w:b/>
                <w:i/>
                <w:color w:val="FFFFFF" w:themeColor="background1"/>
                <w:sz w:val="18"/>
                <w:szCs w:val="18"/>
              </w:rPr>
            </w:pPr>
            <w:r w:rsidRPr="00200723">
              <w:rPr>
                <w:rFonts w:eastAsia="Calibri"/>
                <w:b/>
                <w:i/>
                <w:color w:val="FFFFFF" w:themeColor="background1"/>
                <w:sz w:val="18"/>
                <w:szCs w:val="18"/>
              </w:rPr>
              <w:t>Skills, Knowledge and Abilities</w:t>
            </w:r>
          </w:p>
        </w:tc>
        <w:tc>
          <w:tcPr>
            <w:tcW w:w="2103" w:type="dxa"/>
            <w:shd w:val="clear" w:color="auto" w:fill="000000" w:themeFill="text1"/>
            <w:vAlign w:val="center"/>
          </w:tcPr>
          <w:p w:rsidR="00B94510" w:rsidRPr="00200723" w:rsidRDefault="00B94510">
            <w:pPr>
              <w:pStyle w:val="ListParagraph"/>
              <w:spacing w:after="0" w:line="240" w:lineRule="auto"/>
              <w:ind w:left="0"/>
              <w:jc w:val="center"/>
              <w:rPr>
                <w:b/>
                <w:i/>
                <w:sz w:val="18"/>
                <w:szCs w:val="18"/>
              </w:rPr>
            </w:pPr>
          </w:p>
        </w:tc>
        <w:tc>
          <w:tcPr>
            <w:tcW w:w="1925" w:type="dxa"/>
            <w:shd w:val="clear" w:color="auto" w:fill="000000" w:themeFill="text1"/>
            <w:vAlign w:val="center"/>
          </w:tcPr>
          <w:p w:rsidR="00B94510" w:rsidRPr="00200723" w:rsidRDefault="00B94510">
            <w:pPr>
              <w:pStyle w:val="ListParagraph"/>
              <w:spacing w:after="0" w:line="240" w:lineRule="auto"/>
              <w:ind w:left="0"/>
              <w:jc w:val="center"/>
              <w:rPr>
                <w:b/>
                <w:i/>
                <w:sz w:val="18"/>
                <w:szCs w:val="18"/>
              </w:rPr>
            </w:pPr>
          </w:p>
        </w:tc>
      </w:tr>
      <w:tr w:rsidR="00B94510" w:rsidRPr="00200723" w:rsidTr="00200723">
        <w:trPr>
          <w:trHeight w:val="191"/>
        </w:trPr>
        <w:tc>
          <w:tcPr>
            <w:tcW w:w="5985" w:type="dxa"/>
          </w:tcPr>
          <w:p w:rsidR="00B94510" w:rsidRPr="00200723" w:rsidRDefault="00EC6DCD">
            <w:pPr>
              <w:spacing w:after="0" w:line="240" w:lineRule="auto"/>
              <w:rPr>
                <w:rFonts w:eastAsia="Times New Roman" w:cs="Helvetica"/>
                <w:color w:val="000000"/>
                <w:sz w:val="18"/>
                <w:szCs w:val="18"/>
              </w:rPr>
            </w:pPr>
            <w:r w:rsidRPr="00200723">
              <w:rPr>
                <w:rFonts w:eastAsia="Times New Roman" w:cs="Helvetica"/>
                <w:color w:val="000000" w:themeColor="text1"/>
                <w:sz w:val="18"/>
                <w:szCs w:val="18"/>
              </w:rPr>
              <w:t>In</w:t>
            </w:r>
            <w:r w:rsidR="00081F2F" w:rsidRPr="00200723">
              <w:rPr>
                <w:rFonts w:eastAsia="Times New Roman" w:cs="Helvetica"/>
                <w:color w:val="000000" w:themeColor="text1"/>
                <w:sz w:val="18"/>
                <w:szCs w:val="18"/>
              </w:rPr>
              <w:t xml:space="preserve"> </w:t>
            </w:r>
            <w:r w:rsidRPr="00200723">
              <w:rPr>
                <w:rFonts w:eastAsia="Times New Roman" w:cs="Helvetica"/>
                <w:color w:val="000000" w:themeColor="text1"/>
                <w:sz w:val="18"/>
                <w:szCs w:val="18"/>
              </w:rPr>
              <w:t>depth experience of working with Logic Pro.</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spacing w:after="0" w:line="240" w:lineRule="auto"/>
              <w:rPr>
                <w:rFonts w:eastAsia="Times New Roman" w:cs="Helvetica"/>
                <w:color w:val="000000" w:themeColor="text1"/>
                <w:sz w:val="18"/>
                <w:szCs w:val="18"/>
              </w:rPr>
            </w:pPr>
            <w:r w:rsidRPr="00200723">
              <w:rPr>
                <w:rFonts w:eastAsia="Times New Roman" w:cs="Helvetica"/>
                <w:color w:val="000000" w:themeColor="text1"/>
                <w:sz w:val="18"/>
                <w:szCs w:val="18"/>
              </w:rPr>
              <w:t>Experience of working with Pro Tools within a studio context.</w:t>
            </w:r>
          </w:p>
        </w:tc>
        <w:tc>
          <w:tcPr>
            <w:tcW w:w="2103"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c>
          <w:tcPr>
            <w:tcW w:w="1925"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r>
      <w:tr w:rsidR="00B94510" w:rsidRPr="00200723" w:rsidTr="00200723">
        <w:trPr>
          <w:trHeight w:val="191"/>
        </w:trPr>
        <w:tc>
          <w:tcPr>
            <w:tcW w:w="5985" w:type="dxa"/>
          </w:tcPr>
          <w:p w:rsidR="00B94510" w:rsidRPr="00200723" w:rsidRDefault="00EC6DCD">
            <w:pPr>
              <w:spacing w:after="0"/>
              <w:rPr>
                <w:rFonts w:eastAsia="Times New Roman" w:cs="Helvetica"/>
                <w:color w:val="000000" w:themeColor="text1"/>
                <w:sz w:val="18"/>
                <w:szCs w:val="18"/>
              </w:rPr>
            </w:pPr>
            <w:r w:rsidRPr="00200723">
              <w:rPr>
                <w:rFonts w:eastAsia="Times New Roman" w:cs="Helvetica"/>
                <w:color w:val="000000" w:themeColor="text1"/>
                <w:sz w:val="18"/>
                <w:szCs w:val="18"/>
              </w:rPr>
              <w:t xml:space="preserve">Significant experience of working with a range of audio production equipment &amp; processes in a professional context as a performer or technician.  </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spacing w:after="0"/>
              <w:rPr>
                <w:rFonts w:eastAsia="Times New Roman" w:cs="Helvetica"/>
                <w:color w:val="000000" w:themeColor="text1"/>
                <w:sz w:val="18"/>
                <w:szCs w:val="18"/>
              </w:rPr>
            </w:pPr>
            <w:r w:rsidRPr="00200723">
              <w:rPr>
                <w:rFonts w:eastAsia="Times New Roman" w:cs="Helvetica"/>
                <w:color w:val="000000" w:themeColor="text1"/>
                <w:sz w:val="18"/>
                <w:szCs w:val="18"/>
              </w:rPr>
              <w:t>Professional experience of audio production within both live performance and studio contexts</w:t>
            </w:r>
          </w:p>
        </w:tc>
        <w:tc>
          <w:tcPr>
            <w:tcW w:w="2103" w:type="dxa"/>
            <w:vAlign w:val="center"/>
          </w:tcPr>
          <w:p w:rsidR="00B94510" w:rsidRPr="00200723" w:rsidRDefault="00B94510">
            <w:pPr>
              <w:pStyle w:val="ListParagraph"/>
              <w:spacing w:after="0" w:line="240" w:lineRule="auto"/>
              <w:jc w:val="center"/>
              <w:rPr>
                <w:rFonts w:ascii="Calibri" w:eastAsia="Calibri" w:hAnsi="Calibri"/>
                <w:sz w:val="18"/>
                <w:szCs w:val="18"/>
              </w:rPr>
            </w:pPr>
          </w:p>
        </w:tc>
        <w:tc>
          <w:tcPr>
            <w:tcW w:w="1925"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r>
      <w:tr w:rsidR="00B94510" w:rsidRPr="00200723" w:rsidTr="00200723">
        <w:trPr>
          <w:trHeight w:val="818"/>
        </w:trPr>
        <w:tc>
          <w:tcPr>
            <w:tcW w:w="5985" w:type="dxa"/>
          </w:tcPr>
          <w:p w:rsidR="00B94510" w:rsidRPr="00200723" w:rsidRDefault="00EC6DCD">
            <w:pPr>
              <w:spacing w:after="0" w:line="240" w:lineRule="auto"/>
              <w:rPr>
                <w:rFonts w:ascii="Calibri" w:hAnsi="Calibri"/>
                <w:sz w:val="18"/>
                <w:szCs w:val="18"/>
              </w:rPr>
            </w:pPr>
            <w:r w:rsidRPr="00200723">
              <w:rPr>
                <w:rFonts w:eastAsia="Calibri"/>
                <w:sz w:val="18"/>
                <w:szCs w:val="18"/>
              </w:rPr>
              <w:t>Awareness of and experience with up to date and current technological developments within field</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537"/>
        </w:trPr>
        <w:tc>
          <w:tcPr>
            <w:tcW w:w="5985" w:type="dxa"/>
          </w:tcPr>
          <w:p w:rsidR="00B94510" w:rsidRPr="00200723" w:rsidRDefault="00EC6DCD">
            <w:pPr>
              <w:spacing w:after="0" w:line="240" w:lineRule="auto"/>
              <w:rPr>
                <w:rFonts w:cs="Helvetica"/>
                <w:sz w:val="18"/>
                <w:szCs w:val="18"/>
              </w:rPr>
            </w:pPr>
            <w:r w:rsidRPr="00200723">
              <w:rPr>
                <w:rFonts w:eastAsia="Calibri"/>
                <w:sz w:val="18"/>
                <w:szCs w:val="18"/>
              </w:rPr>
              <w:t>Recent experience of leading performance groups in an educational context</w:t>
            </w:r>
          </w:p>
        </w:tc>
        <w:tc>
          <w:tcPr>
            <w:tcW w:w="2103" w:type="dxa"/>
            <w:vAlign w:val="center"/>
          </w:tcPr>
          <w:p w:rsidR="00B94510" w:rsidRPr="00200723" w:rsidRDefault="00B94510">
            <w:pPr>
              <w:pStyle w:val="ListParagraph"/>
              <w:spacing w:after="0" w:line="240" w:lineRule="auto"/>
              <w:ind w:left="0"/>
              <w:jc w:val="center"/>
              <w:rPr>
                <w:rFonts w:cs="Arial"/>
                <w:sz w:val="18"/>
                <w:szCs w:val="18"/>
              </w:rPr>
            </w:pPr>
          </w:p>
        </w:tc>
        <w:tc>
          <w:tcPr>
            <w:tcW w:w="1925"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r>
      <w:tr w:rsidR="00B94510" w:rsidRPr="00200723" w:rsidTr="00200723">
        <w:trPr>
          <w:trHeight w:val="402"/>
        </w:trPr>
        <w:tc>
          <w:tcPr>
            <w:tcW w:w="5985" w:type="dxa"/>
          </w:tcPr>
          <w:p w:rsidR="00B94510" w:rsidRPr="00200723" w:rsidRDefault="00EC6DCD">
            <w:pPr>
              <w:spacing w:after="0" w:line="240" w:lineRule="auto"/>
              <w:rPr>
                <w:rFonts w:cs="Helvetica"/>
                <w:sz w:val="18"/>
                <w:szCs w:val="18"/>
              </w:rPr>
            </w:pPr>
            <w:r w:rsidRPr="00200723">
              <w:rPr>
                <w:rFonts w:eastAsia="Calibri"/>
                <w:sz w:val="18"/>
                <w:szCs w:val="18"/>
              </w:rPr>
              <w:t>Ability to create a positive learning environment</w:t>
            </w:r>
          </w:p>
        </w:tc>
        <w:tc>
          <w:tcPr>
            <w:tcW w:w="2103" w:type="dxa"/>
            <w:vAlign w:val="center"/>
          </w:tcPr>
          <w:p w:rsidR="00B94510" w:rsidRPr="00200723" w:rsidRDefault="00EC6DCD">
            <w:pPr>
              <w:pStyle w:val="ListParagraph"/>
              <w:spacing w:after="0" w:line="240" w:lineRule="auto"/>
              <w:ind w:left="0"/>
              <w:jc w:val="center"/>
              <w:rPr>
                <w:rFonts w:cs="Arial"/>
                <w:sz w:val="18"/>
                <w:szCs w:val="18"/>
              </w:rPr>
            </w:pPr>
            <w:r w:rsidRPr="00200723">
              <w:rPr>
                <w:rFonts w:eastAsia="Calibri" w:cs="Arial"/>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351"/>
        </w:trPr>
        <w:tc>
          <w:tcPr>
            <w:tcW w:w="5985" w:type="dxa"/>
          </w:tcPr>
          <w:p w:rsidR="00B94510" w:rsidRPr="00200723" w:rsidRDefault="00EC6DCD">
            <w:pPr>
              <w:pStyle w:val="ListParagraph"/>
              <w:spacing w:after="0" w:line="240" w:lineRule="auto"/>
              <w:ind w:left="0"/>
              <w:rPr>
                <w:rFonts w:eastAsia="Calibri"/>
                <w:sz w:val="18"/>
                <w:szCs w:val="18"/>
              </w:rPr>
            </w:pPr>
            <w:r w:rsidRPr="00200723">
              <w:rPr>
                <w:rFonts w:eastAsia="Calibri"/>
                <w:sz w:val="18"/>
                <w:szCs w:val="18"/>
              </w:rPr>
              <w:t>Ability to communicate effectively with young people from a range of diverse backgrounds</w:t>
            </w:r>
          </w:p>
        </w:tc>
        <w:tc>
          <w:tcPr>
            <w:tcW w:w="2103" w:type="dxa"/>
            <w:vAlign w:val="center"/>
          </w:tcPr>
          <w:p w:rsidR="00B94510" w:rsidRPr="00200723" w:rsidRDefault="00EC6DCD">
            <w:pPr>
              <w:pStyle w:val="ListParagraph"/>
              <w:spacing w:after="0" w:line="240" w:lineRule="auto"/>
              <w:ind w:left="0"/>
              <w:jc w:val="center"/>
              <w:rPr>
                <w:rFonts w:cs="Arial"/>
                <w:sz w:val="18"/>
                <w:szCs w:val="18"/>
              </w:rPr>
            </w:pPr>
            <w:r w:rsidRPr="00200723">
              <w:rPr>
                <w:rFonts w:eastAsia="Calibri" w:cs="Arial"/>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357"/>
        </w:trPr>
        <w:tc>
          <w:tcPr>
            <w:tcW w:w="5985" w:type="dxa"/>
          </w:tcPr>
          <w:p w:rsidR="00B94510" w:rsidRPr="00200723" w:rsidRDefault="00EC6DCD">
            <w:pPr>
              <w:spacing w:after="0" w:line="240" w:lineRule="auto"/>
              <w:rPr>
                <w:rFonts w:cs="Helvetica"/>
                <w:sz w:val="18"/>
                <w:szCs w:val="18"/>
              </w:rPr>
            </w:pPr>
            <w:r w:rsidRPr="00200723">
              <w:rPr>
                <w:rFonts w:eastAsia="Calibri"/>
                <w:sz w:val="18"/>
                <w:szCs w:val="18"/>
              </w:rPr>
              <w:t>Excellent collaboration and team working skills</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eastAsia="Calibri"/>
                <w:sz w:val="18"/>
                <w:szCs w:val="18"/>
              </w:rPr>
            </w:pPr>
            <w:r w:rsidRPr="00200723">
              <w:rPr>
                <w:rFonts w:eastAsia="Calibri"/>
                <w:sz w:val="18"/>
                <w:szCs w:val="18"/>
              </w:rPr>
              <w:t>Ability to reflect on own teaching methods and respond positively to new ideas</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hAnsi="Calibri"/>
                <w:sz w:val="18"/>
                <w:szCs w:val="18"/>
              </w:rPr>
            </w:pPr>
            <w:r w:rsidRPr="00200723">
              <w:rPr>
                <w:rFonts w:eastAsia="Calibri"/>
                <w:sz w:val="18"/>
                <w:szCs w:val="18"/>
              </w:rPr>
              <w:t>Ability to accept constructive criticism and work with College Leadership to improve practice</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spacing w:after="0" w:line="240" w:lineRule="auto"/>
              <w:rPr>
                <w:rFonts w:ascii="Calibri" w:hAnsi="Calibri"/>
                <w:sz w:val="18"/>
                <w:szCs w:val="18"/>
              </w:rPr>
            </w:pPr>
            <w:r w:rsidRPr="00200723">
              <w:rPr>
                <w:rFonts w:eastAsia="Calibri"/>
                <w:sz w:val="18"/>
                <w:szCs w:val="18"/>
              </w:rPr>
              <w:t>Ability to demonstrate a commitment to improving own learning and understanding in relation to student needs, keeping up to date with current theory and practice</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spacing w:after="0" w:line="240" w:lineRule="auto"/>
              <w:rPr>
                <w:rFonts w:cs="Helvetica"/>
                <w:sz w:val="18"/>
                <w:szCs w:val="18"/>
              </w:rPr>
            </w:pPr>
            <w:r w:rsidRPr="00200723">
              <w:rPr>
                <w:rFonts w:eastAsia="Calibri"/>
                <w:sz w:val="18"/>
                <w:szCs w:val="18"/>
              </w:rPr>
              <w:t xml:space="preserve">Knowledge and understanding of  safeguarding children and vulnerable adults                                                  </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eastAsia="Calibri"/>
                <w:sz w:val="18"/>
                <w:szCs w:val="18"/>
              </w:rPr>
            </w:pPr>
            <w:r w:rsidRPr="00200723">
              <w:rPr>
                <w:rFonts w:eastAsia="Calibri"/>
                <w:sz w:val="18"/>
                <w:szCs w:val="18"/>
              </w:rPr>
              <w:t>Understanding of and commitment to Equal Opportunities and Valuing Diversity</w:t>
            </w:r>
          </w:p>
        </w:tc>
        <w:tc>
          <w:tcPr>
            <w:tcW w:w="2103" w:type="dxa"/>
            <w:vAlign w:val="center"/>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c>
          <w:tcPr>
            <w:tcW w:w="1925" w:type="dxa"/>
            <w:vAlign w:val="center"/>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spacing w:after="0" w:line="240" w:lineRule="auto"/>
              <w:rPr>
                <w:rFonts w:cs="Helvetica"/>
                <w:sz w:val="18"/>
                <w:szCs w:val="18"/>
              </w:rPr>
            </w:pPr>
            <w:r w:rsidRPr="00200723">
              <w:rPr>
                <w:rFonts w:eastAsia="Calibri" w:cs="Helvetica"/>
                <w:sz w:val="18"/>
                <w:szCs w:val="18"/>
              </w:rPr>
              <w:t>Excellent organisational skills</w:t>
            </w:r>
          </w:p>
        </w:tc>
        <w:tc>
          <w:tcPr>
            <w:tcW w:w="2103" w:type="dxa"/>
          </w:tcPr>
          <w:p w:rsidR="00B94510" w:rsidRPr="00200723" w:rsidRDefault="00EC6DCD">
            <w:pPr>
              <w:pStyle w:val="ListParagraph"/>
              <w:spacing w:after="0" w:line="240" w:lineRule="auto"/>
              <w:ind w:left="0"/>
              <w:jc w:val="center"/>
              <w:rPr>
                <w:rFonts w:cs="Arial"/>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spacing w:after="0" w:line="240" w:lineRule="auto"/>
              <w:rPr>
                <w:rFonts w:cs="Helvetica"/>
                <w:sz w:val="18"/>
                <w:szCs w:val="18"/>
              </w:rPr>
            </w:pPr>
            <w:r w:rsidRPr="00200723">
              <w:rPr>
                <w:rFonts w:eastAsia="Calibri" w:cs="Helvetica"/>
                <w:sz w:val="18"/>
                <w:szCs w:val="18"/>
              </w:rPr>
              <w:t>Excellent interpersonal skills</w:t>
            </w:r>
          </w:p>
        </w:tc>
        <w:tc>
          <w:tcPr>
            <w:tcW w:w="2103" w:type="dxa"/>
          </w:tcPr>
          <w:p w:rsidR="00B94510" w:rsidRPr="00200723" w:rsidRDefault="00EC6DCD">
            <w:pPr>
              <w:pStyle w:val="ListParagraph"/>
              <w:spacing w:after="0" w:line="240" w:lineRule="auto"/>
              <w:ind w:left="0"/>
              <w:jc w:val="center"/>
              <w:rPr>
                <w:rFonts w:cs="Arial"/>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cs="Helvetica"/>
                <w:sz w:val="18"/>
                <w:szCs w:val="18"/>
              </w:rPr>
              <w:t>Excellent IT skills</w:t>
            </w:r>
          </w:p>
        </w:tc>
        <w:tc>
          <w:tcPr>
            <w:tcW w:w="2103" w:type="dxa"/>
          </w:tcPr>
          <w:p w:rsidR="00B94510" w:rsidRPr="00200723" w:rsidRDefault="00B94510">
            <w:pPr>
              <w:pStyle w:val="ListParagraph"/>
              <w:spacing w:after="0" w:line="240" w:lineRule="auto"/>
              <w:ind w:left="0"/>
              <w:jc w:val="center"/>
              <w:rPr>
                <w:rFonts w:cs="Arial"/>
                <w:sz w:val="18"/>
                <w:szCs w:val="18"/>
              </w:rPr>
            </w:pPr>
          </w:p>
        </w:tc>
        <w:tc>
          <w:tcPr>
            <w:tcW w:w="1925"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sz w:val="18"/>
                <w:szCs w:val="18"/>
              </w:rPr>
              <w:t>x</w:t>
            </w: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Ability to communicate effectively in writing, face to face, and on the telephone</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spacing w:after="0" w:line="240" w:lineRule="auto"/>
              <w:rPr>
                <w:rFonts w:cs="Helvetica"/>
                <w:sz w:val="18"/>
                <w:szCs w:val="18"/>
              </w:rPr>
            </w:pPr>
            <w:r w:rsidRPr="00200723">
              <w:rPr>
                <w:rFonts w:eastAsia="Calibri" w:cs="Helvetica"/>
                <w:sz w:val="18"/>
                <w:szCs w:val="18"/>
              </w:rPr>
              <w:t>Ability to maintain a professional, patient and calm attitude when dealing with parents and students</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Diplomatic approach in dealing with difficult situations</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Comfortable in working in a sometimes challenging environment</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Ability to prioritise to ensure that deadlines are met, whilst working under pressure</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Ability to maintain strict confidentiality in all matters</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Ability to use computer applications, particularly Microsoft Office</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Commitment to implementation of the practices and ethos of the College.</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r w:rsidR="00B94510" w:rsidRPr="00200723" w:rsidTr="00200723">
        <w:trPr>
          <w:trHeight w:val="191"/>
        </w:trPr>
        <w:tc>
          <w:tcPr>
            <w:tcW w:w="5985" w:type="dxa"/>
          </w:tcPr>
          <w:p w:rsidR="00B94510" w:rsidRPr="00200723" w:rsidRDefault="00EC6DCD">
            <w:pPr>
              <w:pStyle w:val="ListParagraph"/>
              <w:spacing w:after="0" w:line="240" w:lineRule="auto"/>
              <w:ind w:left="0"/>
              <w:rPr>
                <w:rFonts w:ascii="Calibri" w:eastAsia="Calibri" w:hAnsi="Calibri"/>
                <w:sz w:val="18"/>
                <w:szCs w:val="18"/>
              </w:rPr>
            </w:pPr>
            <w:r w:rsidRPr="00200723">
              <w:rPr>
                <w:rFonts w:eastAsia="Calibri"/>
                <w:sz w:val="18"/>
                <w:szCs w:val="18"/>
              </w:rPr>
              <w:t>Ability to form and maintain appropriate relationships and personal boundaries with children and young people</w:t>
            </w:r>
          </w:p>
        </w:tc>
        <w:tc>
          <w:tcPr>
            <w:tcW w:w="2103" w:type="dxa"/>
          </w:tcPr>
          <w:p w:rsidR="00B94510" w:rsidRPr="00200723" w:rsidRDefault="00EC6DCD">
            <w:pPr>
              <w:pStyle w:val="ListParagraph"/>
              <w:spacing w:after="0" w:line="240" w:lineRule="auto"/>
              <w:ind w:left="0"/>
              <w:jc w:val="center"/>
              <w:rPr>
                <w:rFonts w:ascii="Calibri" w:eastAsia="Calibri" w:hAnsi="Calibri"/>
                <w:sz w:val="18"/>
                <w:szCs w:val="18"/>
              </w:rPr>
            </w:pPr>
            <w:r w:rsidRPr="00200723">
              <w:rPr>
                <w:rFonts w:eastAsia="Calibri" w:cs="Arial"/>
                <w:sz w:val="18"/>
                <w:szCs w:val="18"/>
              </w:rPr>
              <w:t>x</w:t>
            </w:r>
          </w:p>
        </w:tc>
        <w:tc>
          <w:tcPr>
            <w:tcW w:w="1925" w:type="dxa"/>
          </w:tcPr>
          <w:p w:rsidR="00B94510" w:rsidRPr="00200723" w:rsidRDefault="00B94510">
            <w:pPr>
              <w:pStyle w:val="ListParagraph"/>
              <w:spacing w:after="0" w:line="240" w:lineRule="auto"/>
              <w:ind w:left="0"/>
              <w:jc w:val="center"/>
              <w:rPr>
                <w:rFonts w:ascii="Calibri" w:eastAsia="Calibri" w:hAnsi="Calibri"/>
                <w:sz w:val="18"/>
                <w:szCs w:val="18"/>
              </w:rPr>
            </w:pPr>
          </w:p>
        </w:tc>
      </w:tr>
    </w:tbl>
    <w:p w:rsidR="00B94510" w:rsidRDefault="00B94510">
      <w:pPr>
        <w:spacing w:after="0" w:line="231" w:lineRule="atLeast"/>
        <w:ind w:right="868"/>
        <w:rPr>
          <w:rFonts w:eastAsia="Times New Roman" w:cstheme="minorHAnsi"/>
        </w:rPr>
      </w:pPr>
    </w:p>
    <w:p w:rsidR="00B94510" w:rsidRDefault="00B94510">
      <w:pPr>
        <w:spacing w:after="0" w:line="231" w:lineRule="atLeast"/>
        <w:ind w:right="868"/>
        <w:rPr>
          <w:rFonts w:eastAsia="Times New Roman" w:cstheme="minorHAnsi"/>
        </w:rPr>
      </w:pPr>
    </w:p>
    <w:p w:rsidR="00B94510" w:rsidRDefault="00B94510"/>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B94510">
      <w:pPr>
        <w:pStyle w:val="NormalWeb"/>
        <w:shd w:val="clear" w:color="auto" w:fill="FFFFFF"/>
        <w:spacing w:beforeAutospacing="0" w:after="0" w:afterAutospacing="0"/>
        <w:rPr>
          <w:rFonts w:asciiTheme="minorHAnsi" w:hAnsiTheme="minorHAnsi" w:cstheme="minorHAnsi"/>
          <w:b/>
          <w:bCs/>
          <w:color w:val="000000"/>
          <w:sz w:val="20"/>
          <w:szCs w:val="20"/>
          <w:shd w:val="clear" w:color="auto" w:fill="FFFFFF"/>
        </w:rPr>
      </w:pPr>
    </w:p>
    <w:p w:rsidR="00B94510" w:rsidRDefault="00EC6DCD">
      <w:pPr>
        <w:pStyle w:val="NormalWeb"/>
        <w:shd w:val="clear" w:color="auto" w:fill="FFFFFF"/>
        <w:spacing w:beforeAutospacing="0" w:after="0" w:afterAutospacing="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w:t>
      </w:r>
    </w:p>
    <w:p w:rsidR="00B94510" w:rsidRDefault="00B94510">
      <w:pPr>
        <w:rPr>
          <w:rFonts w:cstheme="minorHAnsi"/>
          <w:sz w:val="20"/>
          <w:szCs w:val="20"/>
        </w:rPr>
      </w:pPr>
    </w:p>
    <w:sectPr w:rsidR="00B94510">
      <w:headerReference w:type="default" r:id="rId7"/>
      <w:pgSz w:w="11906" w:h="16838"/>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B8E" w:rsidRDefault="00EC6DCD">
      <w:pPr>
        <w:spacing w:after="0" w:line="240" w:lineRule="auto"/>
      </w:pPr>
      <w:r>
        <w:separator/>
      </w:r>
    </w:p>
  </w:endnote>
  <w:endnote w:type="continuationSeparator" w:id="0">
    <w:p w:rsidR="007F4B8E" w:rsidRDefault="00EC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B8E" w:rsidRDefault="00EC6DCD">
      <w:pPr>
        <w:spacing w:after="0" w:line="240" w:lineRule="auto"/>
      </w:pPr>
      <w:r>
        <w:separator/>
      </w:r>
    </w:p>
  </w:footnote>
  <w:footnote w:type="continuationSeparator" w:id="0">
    <w:p w:rsidR="007F4B8E" w:rsidRDefault="00EC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EC6DCD">
    <w:pPr>
      <w:pStyle w:val="Header"/>
      <w:jc w:val="right"/>
    </w:pPr>
    <w:r>
      <w:rPr>
        <w:noProof/>
        <w:lang w:eastAsia="en-GB"/>
      </w:rPr>
      <w:drawing>
        <wp:inline distT="0" distB="0" distL="0" distR="0">
          <wp:extent cx="1030605" cy="49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030605" cy="497840"/>
                  </a:xfrm>
                  <a:prstGeom prst="rect">
                    <a:avLst/>
                  </a:prstGeom>
                </pic:spPr>
              </pic:pic>
            </a:graphicData>
          </a:graphic>
        </wp:inline>
      </w:drawing>
    </w:r>
  </w:p>
  <w:p w:rsidR="00B94510" w:rsidRDefault="00B94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654F"/>
    <w:multiLevelType w:val="multilevel"/>
    <w:tmpl w:val="B5E250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7F1114C"/>
    <w:multiLevelType w:val="multilevel"/>
    <w:tmpl w:val="79D417E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C525130"/>
    <w:multiLevelType w:val="multilevel"/>
    <w:tmpl w:val="B080D22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340B90"/>
    <w:multiLevelType w:val="multilevel"/>
    <w:tmpl w:val="7AA0B23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A90C71"/>
    <w:multiLevelType w:val="multilevel"/>
    <w:tmpl w:val="1B68A5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EE43C29"/>
    <w:multiLevelType w:val="multilevel"/>
    <w:tmpl w:val="544E91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10"/>
    <w:rsid w:val="00081F2F"/>
    <w:rsid w:val="00200723"/>
    <w:rsid w:val="00764658"/>
    <w:rsid w:val="007F4B8E"/>
    <w:rsid w:val="00B94510"/>
    <w:rsid w:val="00EC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F5A40-6779-4DBA-80EB-C695ED89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186D20"/>
    <w:rPr>
      <w:rFonts w:ascii="Arial" w:eastAsia="Times New Roman" w:hAnsi="Arial" w:cs="Times New Roman"/>
      <w:b/>
      <w:sz w:val="28"/>
      <w:szCs w:val="20"/>
    </w:rPr>
  </w:style>
  <w:style w:type="character" w:customStyle="1" w:styleId="HeaderChar">
    <w:name w:val="Header Char"/>
    <w:basedOn w:val="DefaultParagraphFont"/>
    <w:link w:val="Header"/>
    <w:uiPriority w:val="99"/>
    <w:qFormat/>
    <w:rsid w:val="00505833"/>
  </w:style>
  <w:style w:type="character" w:customStyle="1" w:styleId="FooterChar">
    <w:name w:val="Footer Char"/>
    <w:basedOn w:val="DefaultParagraphFont"/>
    <w:link w:val="Footer"/>
    <w:uiPriority w:val="99"/>
    <w:qFormat/>
    <w:rsid w:val="00505833"/>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186D20"/>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6D20"/>
    <w:pPr>
      <w:ind w:left="720"/>
      <w:contextualSpacing/>
    </w:pPr>
  </w:style>
  <w:style w:type="paragraph" w:styleId="Title">
    <w:name w:val="Title"/>
    <w:basedOn w:val="Normal"/>
    <w:link w:val="TitleChar"/>
    <w:qFormat/>
    <w:rsid w:val="00186D20"/>
    <w:pPr>
      <w:spacing w:after="0" w:line="240" w:lineRule="auto"/>
      <w:jc w:val="center"/>
    </w:pPr>
    <w:rPr>
      <w:rFonts w:ascii="Arial" w:eastAsia="Times New Roman" w:hAnsi="Arial" w:cs="Times New Roman"/>
      <w:b/>
      <w:sz w:val="28"/>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05833"/>
    <w:pPr>
      <w:tabs>
        <w:tab w:val="center" w:pos="4513"/>
        <w:tab w:val="right" w:pos="9026"/>
      </w:tabs>
      <w:spacing w:after="0" w:line="240" w:lineRule="auto"/>
    </w:pPr>
  </w:style>
  <w:style w:type="paragraph" w:styleId="Footer">
    <w:name w:val="footer"/>
    <w:basedOn w:val="Normal"/>
    <w:link w:val="FooterChar"/>
    <w:uiPriority w:val="99"/>
    <w:unhideWhenUsed/>
    <w:rsid w:val="00505833"/>
    <w:pPr>
      <w:tabs>
        <w:tab w:val="center" w:pos="4513"/>
        <w:tab w:val="right" w:pos="9026"/>
      </w:tabs>
      <w:spacing w:after="0" w:line="240" w:lineRule="auto"/>
    </w:pPr>
  </w:style>
  <w:style w:type="table" w:styleId="TableGrid">
    <w:name w:val="Table Grid"/>
    <w:basedOn w:val="TableNormal"/>
    <w:uiPriority w:val="59"/>
    <w:rsid w:val="007929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Mulhern</dc:creator>
  <dc:description/>
  <cp:lastModifiedBy>Aaron Mulhern</cp:lastModifiedBy>
  <cp:revision>2</cp:revision>
  <dcterms:created xsi:type="dcterms:W3CDTF">2021-11-18T14:47:00Z</dcterms:created>
  <dcterms:modified xsi:type="dcterms:W3CDTF">2021-11-18T14:47:00Z</dcterms:modified>
  <dc:language>en-GB</dc:language>
</cp:coreProperties>
</file>